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0E3" w14:textId="77777777" w:rsidR="00DD2510" w:rsidRDefault="00DD2510" w:rsidP="00DD2510">
      <w:pPr>
        <w:pStyle w:val="a5"/>
        <w:shd w:val="clear" w:color="auto" w:fill="FFFFFF"/>
        <w:spacing w:before="0" w:beforeAutospacing="0"/>
        <w:ind w:firstLine="480"/>
        <w:jc w:val="both"/>
        <w:rPr>
          <w:rFonts w:ascii="微软雅黑" w:eastAsia="微软雅黑" w:hAnsi="微软雅黑"/>
          <w:color w:val="333333"/>
        </w:rPr>
      </w:pPr>
      <w:r>
        <w:rPr>
          <w:rFonts w:ascii="微软雅黑" w:eastAsia="微软雅黑" w:hAnsi="微软雅黑" w:hint="eastAsia"/>
          <w:color w:val="333333"/>
        </w:rPr>
        <w:t>为贯彻落实《国家医保局  财政部关于扩大长期护理保险制度试点的指导意见》（</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保发〔2020〕37号，以下简称37号文件），稳步推进长期护理保险制度试点，协同促进养老服务体系建设，近日，国家</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保局办公室会同民政部办公厅印发了《关于印发〈长期护理失能等级评估标准（试行）〉的通知》（以下简称《通知》）。</w:t>
      </w:r>
    </w:p>
    <w:p w14:paraId="17CC6DDB" w14:textId="77777777" w:rsidR="00DD2510" w:rsidRDefault="00DD2510" w:rsidP="00DD2510">
      <w:pPr>
        <w:pStyle w:val="a5"/>
        <w:shd w:val="clear" w:color="auto" w:fill="FFFFFF"/>
        <w:spacing w:before="0" w:beforeAutospacing="0"/>
        <w:ind w:firstLine="480"/>
        <w:jc w:val="both"/>
        <w:rPr>
          <w:rFonts w:ascii="微软雅黑" w:eastAsia="微软雅黑" w:hAnsi="微软雅黑" w:hint="eastAsia"/>
          <w:color w:val="333333"/>
        </w:rPr>
      </w:pPr>
      <w:r>
        <w:rPr>
          <w:rFonts w:ascii="微软雅黑" w:eastAsia="微软雅黑" w:hAnsi="微软雅黑" w:hint="eastAsia"/>
          <w:color w:val="333333"/>
        </w:rPr>
        <w:t>长期护理保险失能等级评估标准是长期护理保险待遇享受和基金支付的重要依据，是构成完整制度体系的重要组成部分。自2016年长期护理保险制度试点开展以来，各试点地区借鉴国际经验，因地制宜、积极探索，初步形成了适宜的地方评估标准。在总结地方经验基础上，从待遇均衡性、制度公平性方面考虑，国家</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保局会同民政部研究制定了该评估标准。</w:t>
      </w:r>
    </w:p>
    <w:p w14:paraId="189F38C9" w14:textId="77777777" w:rsidR="00DD2510" w:rsidRDefault="00DD2510" w:rsidP="00DD2510">
      <w:pPr>
        <w:pStyle w:val="a5"/>
        <w:shd w:val="clear" w:color="auto" w:fill="FFFFFF"/>
        <w:spacing w:before="0" w:beforeAutospacing="0"/>
        <w:ind w:firstLine="480"/>
        <w:jc w:val="both"/>
        <w:rPr>
          <w:rFonts w:ascii="微软雅黑" w:eastAsia="微软雅黑" w:hAnsi="微软雅黑" w:hint="eastAsia"/>
          <w:color w:val="333333"/>
        </w:rPr>
      </w:pPr>
      <w:r>
        <w:rPr>
          <w:rFonts w:ascii="微软雅黑" w:eastAsia="微软雅黑" w:hAnsi="微软雅黑" w:hint="eastAsia"/>
          <w:color w:val="333333"/>
        </w:rPr>
        <w:t>《通知》主要对评估指标、评估实施和评估结果判定作了规定。一是明确评估指标。专业评估量表由日常生活活动能力、认知能力、感知觉与沟通能力等3个一级指标和17个二级指标组成，形成综合性评估指标体系。二是明确了实施要求。对主体、对象、流程等</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规定。三是明确采用组合法对评估结果进行判定。</w:t>
      </w:r>
    </w:p>
    <w:p w14:paraId="2F5242C6" w14:textId="77777777" w:rsidR="00DD2510" w:rsidRDefault="00DD2510" w:rsidP="00DD2510">
      <w:pPr>
        <w:pStyle w:val="a5"/>
        <w:shd w:val="clear" w:color="auto" w:fill="FFFFFF"/>
        <w:spacing w:before="0" w:beforeAutospacing="0"/>
        <w:ind w:firstLine="480"/>
        <w:jc w:val="both"/>
        <w:rPr>
          <w:rFonts w:ascii="微软雅黑" w:eastAsia="微软雅黑" w:hAnsi="微软雅黑" w:hint="eastAsia"/>
          <w:color w:val="333333"/>
        </w:rPr>
      </w:pPr>
      <w:r>
        <w:rPr>
          <w:rFonts w:ascii="微软雅黑" w:eastAsia="微软雅黑" w:hAnsi="微软雅黑" w:hint="eastAsia"/>
          <w:color w:val="333333"/>
        </w:rPr>
        <w:t>《通知》强调，各试点地区要加强对长期护理失能等级评估标准的实施应用。37号文件明确的14个新增试点城市参照执行该评估标准，原有试点城市参照完善地方标准，原则上自该文件印发之日起两年内统一到该评估标准上来。同时指出，试点地区各级</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保部门和民政部门要建立协作机制，加强协调配合，探索建立评估结果跨部门互认机制等。</w:t>
      </w:r>
    </w:p>
    <w:p w14:paraId="01D871E9" w14:textId="77777777" w:rsidR="00DD2510" w:rsidRDefault="00DD2510" w:rsidP="00DD2510">
      <w:pPr>
        <w:pStyle w:val="a5"/>
        <w:shd w:val="clear" w:color="auto" w:fill="FFFFFF"/>
        <w:spacing w:before="0" w:beforeAutospacing="0"/>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推动建立全国统一的长期护理失能等级评估标准，能够</w:t>
      </w:r>
      <w:proofErr w:type="gramStart"/>
      <w:r>
        <w:rPr>
          <w:rFonts w:ascii="微软雅黑" w:eastAsia="微软雅黑" w:hAnsi="微软雅黑" w:hint="eastAsia"/>
          <w:color w:val="333333"/>
        </w:rPr>
        <w:t>更好保障</w:t>
      </w:r>
      <w:proofErr w:type="gramEnd"/>
      <w:r>
        <w:rPr>
          <w:rFonts w:ascii="微软雅黑" w:eastAsia="微软雅黑" w:hAnsi="微软雅黑" w:hint="eastAsia"/>
          <w:color w:val="333333"/>
        </w:rPr>
        <w:t>失能人员公平享有长期护理保险待遇的权利，更好规范和精准提供长期护理服务。下一步，国家</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局将会同有关部门，贯彻落实党中央、国务院有关稳步建立长期护理保险制度的决策部署，跟进评估标准试行情况，总结经验做法，促进全国统一的长期护理需求认定和等级评定标准体系建立，为探索建立长期护理保险制度框架打好基础。</w:t>
      </w:r>
    </w:p>
    <w:p w14:paraId="6796B229" w14:textId="77777777" w:rsidR="00DD2510" w:rsidRDefault="00DD2510" w:rsidP="00DD2510">
      <w:pPr>
        <w:pStyle w:val="a5"/>
        <w:shd w:val="clear" w:color="auto" w:fill="FFFFFF"/>
        <w:spacing w:before="0" w:beforeAutospacing="0"/>
        <w:ind w:firstLine="480"/>
        <w:jc w:val="both"/>
        <w:rPr>
          <w:rFonts w:ascii="微软雅黑" w:eastAsia="微软雅黑" w:hAnsi="微软雅黑" w:hint="eastAsia"/>
          <w:color w:val="333333"/>
        </w:rPr>
      </w:pPr>
      <w:r>
        <w:rPr>
          <w:rFonts w:ascii="微软雅黑" w:eastAsia="微软雅黑" w:hAnsi="微软雅黑" w:hint="eastAsia"/>
          <w:color w:val="333333"/>
        </w:rPr>
        <w:t>截至目前，全国49个长期护理保险试点城市参保人数达1.34亿人，累计享受待遇人数152万人。</w:t>
      </w:r>
    </w:p>
    <w:p w14:paraId="7EA460FE" w14:textId="77777777" w:rsidR="00DB32C4" w:rsidRPr="00DD2510" w:rsidRDefault="00DD2510"/>
    <w:sectPr w:rsidR="00DB32C4" w:rsidRPr="00DD2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10"/>
    <w:rsid w:val="002672B0"/>
    <w:rsid w:val="005079E2"/>
    <w:rsid w:val="005C4D54"/>
    <w:rsid w:val="009C5740"/>
    <w:rsid w:val="00A87E50"/>
    <w:rsid w:val="00CB0F26"/>
    <w:rsid w:val="00DD2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1E7F"/>
  <w15:chartTrackingRefBased/>
  <w15:docId w15:val="{EDB10A05-B045-4EA3-80D4-DE311D1C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2B0"/>
    <w:pPr>
      <w:widowControl w:val="0"/>
      <w:jc w:val="both"/>
    </w:pPr>
    <w:rPr>
      <w:rFonts w:ascii="Calibri" w:eastAsia="仿宋_GB2312" w:hAnsi="Calibri" w:cs="Times New Roman"/>
      <w:sz w:val="32"/>
      <w:szCs w:val="24"/>
    </w:rPr>
  </w:style>
  <w:style w:type="paragraph" w:styleId="1">
    <w:name w:val="heading 1"/>
    <w:basedOn w:val="a"/>
    <w:next w:val="a"/>
    <w:link w:val="10"/>
    <w:autoRedefine/>
    <w:uiPriority w:val="9"/>
    <w:qFormat/>
    <w:rsid w:val="005079E2"/>
    <w:pPr>
      <w:keepNext/>
      <w:keepLines/>
      <w:spacing w:before="340" w:after="330" w:line="578" w:lineRule="auto"/>
      <w:outlineLvl w:val="0"/>
    </w:pPr>
    <w:rPr>
      <w:rFonts w:eastAsia="黑体"/>
      <w:b/>
      <w:bCs/>
      <w:kern w:val="44"/>
      <w:szCs w:val="44"/>
    </w:rPr>
  </w:style>
  <w:style w:type="paragraph" w:styleId="2">
    <w:name w:val="heading 2"/>
    <w:basedOn w:val="a"/>
    <w:next w:val="a"/>
    <w:link w:val="20"/>
    <w:autoRedefine/>
    <w:uiPriority w:val="9"/>
    <w:semiHidden/>
    <w:unhideWhenUsed/>
    <w:qFormat/>
    <w:rsid w:val="00A87E50"/>
    <w:pPr>
      <w:keepNext/>
      <w:keepLines/>
      <w:spacing w:before="260" w:after="260" w:line="416" w:lineRule="auto"/>
      <w:outlineLvl w:val="1"/>
    </w:pPr>
    <w:rPr>
      <w:rFonts w:asciiTheme="majorHAnsi" w:eastAsia="宋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A87E50"/>
    <w:pPr>
      <w:spacing w:before="240" w:after="60"/>
      <w:jc w:val="center"/>
      <w:outlineLvl w:val="0"/>
    </w:pPr>
    <w:rPr>
      <w:rFonts w:ascii="宋体" w:eastAsia="宋体" w:hAnsi="宋体" w:cstheme="majorBidi"/>
      <w:b/>
      <w:bCs/>
      <w:sz w:val="24"/>
    </w:rPr>
  </w:style>
  <w:style w:type="character" w:customStyle="1" w:styleId="a4">
    <w:name w:val="标题 字符"/>
    <w:basedOn w:val="a0"/>
    <w:link w:val="a3"/>
    <w:uiPriority w:val="10"/>
    <w:rsid w:val="00A87E50"/>
    <w:rPr>
      <w:rFonts w:ascii="宋体" w:eastAsia="宋体" w:hAnsi="宋体" w:cstheme="majorBidi"/>
      <w:b/>
      <w:bCs/>
      <w:sz w:val="24"/>
      <w:szCs w:val="24"/>
    </w:rPr>
  </w:style>
  <w:style w:type="character" w:customStyle="1" w:styleId="10">
    <w:name w:val="标题 1 字符"/>
    <w:basedOn w:val="a0"/>
    <w:link w:val="1"/>
    <w:uiPriority w:val="9"/>
    <w:rsid w:val="005079E2"/>
    <w:rPr>
      <w:rFonts w:eastAsia="黑体"/>
      <w:b/>
      <w:bCs/>
      <w:kern w:val="44"/>
      <w:sz w:val="32"/>
      <w:szCs w:val="44"/>
    </w:rPr>
  </w:style>
  <w:style w:type="character" w:customStyle="1" w:styleId="20">
    <w:name w:val="标题 2 字符"/>
    <w:basedOn w:val="a0"/>
    <w:link w:val="2"/>
    <w:uiPriority w:val="9"/>
    <w:semiHidden/>
    <w:rsid w:val="00A87E50"/>
    <w:rPr>
      <w:rFonts w:asciiTheme="majorHAnsi" w:eastAsia="宋体" w:hAnsiTheme="majorHAnsi" w:cstheme="majorBidi"/>
      <w:b/>
      <w:bCs/>
      <w:sz w:val="24"/>
      <w:szCs w:val="32"/>
    </w:rPr>
  </w:style>
  <w:style w:type="paragraph" w:styleId="a5">
    <w:name w:val="Normal (Web)"/>
    <w:basedOn w:val="a"/>
    <w:uiPriority w:val="99"/>
    <w:semiHidden/>
    <w:unhideWhenUsed/>
    <w:rsid w:val="00DD2510"/>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HUI</dc:creator>
  <cp:keywords/>
  <dc:description/>
  <cp:lastModifiedBy>LIU HUI</cp:lastModifiedBy>
  <cp:revision>1</cp:revision>
  <dcterms:created xsi:type="dcterms:W3CDTF">2021-08-06T02:44:00Z</dcterms:created>
  <dcterms:modified xsi:type="dcterms:W3CDTF">2021-08-06T02:44:00Z</dcterms:modified>
</cp:coreProperties>
</file>