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39" w:rsidRPr="0049160E" w:rsidRDefault="00306939" w:rsidP="00306939">
      <w:pPr>
        <w:spacing w:line="580" w:lineRule="exact"/>
        <w:rPr>
          <w:rFonts w:ascii="黑体" w:eastAsia="黑体" w:hAnsi="黑体"/>
          <w:sz w:val="32"/>
          <w:szCs w:val="32"/>
        </w:rPr>
      </w:pPr>
      <w:r w:rsidRPr="0049160E">
        <w:rPr>
          <w:rFonts w:ascii="黑体" w:eastAsia="黑体" w:hAnsi="黑体" w:hint="eastAsia"/>
          <w:sz w:val="32"/>
          <w:szCs w:val="32"/>
        </w:rPr>
        <w:t>附件</w:t>
      </w:r>
    </w:p>
    <w:p w:rsidR="00306939" w:rsidRDefault="00306939" w:rsidP="00306939">
      <w:pPr>
        <w:spacing w:line="580" w:lineRule="exact"/>
        <w:jc w:val="center"/>
        <w:rPr>
          <w:rFonts w:ascii="方正小标宋简体" w:eastAsia="方正小标宋简体" w:hAnsi="宋体" w:cs="宋体"/>
          <w:bCs/>
          <w:spacing w:val="-10"/>
          <w:sz w:val="44"/>
          <w:szCs w:val="44"/>
        </w:rPr>
      </w:pPr>
    </w:p>
    <w:p w:rsidR="00306939" w:rsidRPr="0008202C" w:rsidRDefault="00306939" w:rsidP="00306939">
      <w:pPr>
        <w:spacing w:line="580" w:lineRule="exact"/>
        <w:jc w:val="center"/>
        <w:rPr>
          <w:rFonts w:ascii="方正小标宋简体" w:eastAsia="方正小标宋简体" w:hAnsi="宋体" w:cs="宋体"/>
          <w:bCs/>
          <w:spacing w:val="-10"/>
          <w:sz w:val="44"/>
          <w:szCs w:val="44"/>
        </w:rPr>
      </w:pPr>
      <w:r w:rsidRPr="0008202C">
        <w:rPr>
          <w:rFonts w:ascii="方正小标宋简体" w:eastAsia="方正小标宋简体" w:hAnsi="宋体" w:cs="宋体" w:hint="eastAsia"/>
          <w:bCs/>
          <w:spacing w:val="-10"/>
          <w:sz w:val="44"/>
          <w:szCs w:val="44"/>
        </w:rPr>
        <w:t>健康四川行动监测</w:t>
      </w:r>
      <w:r>
        <w:rPr>
          <w:rFonts w:ascii="方正小标宋简体" w:eastAsia="方正小标宋简体" w:hAnsi="宋体" w:cs="宋体" w:hint="eastAsia"/>
          <w:bCs/>
          <w:spacing w:val="-10"/>
          <w:sz w:val="44"/>
          <w:szCs w:val="44"/>
        </w:rPr>
        <w:t>评估</w:t>
      </w:r>
      <w:r w:rsidRPr="0008202C">
        <w:rPr>
          <w:rFonts w:ascii="方正小标宋简体" w:eastAsia="方正小标宋简体" w:hAnsi="宋体" w:cs="宋体" w:hint="eastAsia"/>
          <w:bCs/>
          <w:spacing w:val="-10"/>
          <w:sz w:val="44"/>
          <w:szCs w:val="44"/>
        </w:rPr>
        <w:t>工作方案</w:t>
      </w:r>
    </w:p>
    <w:p w:rsidR="00306939" w:rsidRDefault="00306939" w:rsidP="00306939">
      <w:pPr>
        <w:spacing w:line="580" w:lineRule="exact"/>
        <w:rPr>
          <w:rFonts w:ascii="仿宋_GB2312" w:hAnsi="仿宋_GB2312" w:cs="仿宋_GB2312"/>
        </w:rPr>
      </w:pP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仿宋_GB2312" w:eastAsia="仿宋_GB2312" w:hAnsi="仿宋" w:cs="宋体" w:hint="eastAsia"/>
          <w:kern w:val="0"/>
          <w:sz w:val="32"/>
          <w:szCs w:val="32"/>
        </w:rPr>
        <w:t>为贯彻落实《“健康四川2030”规划纲要</w:t>
      </w:r>
      <w:r w:rsidR="002C0139">
        <w:rPr>
          <w:rFonts w:ascii="仿宋_GB2312" w:eastAsia="仿宋_GB2312" w:hAnsi="仿宋" w:cs="宋体" w:hint="eastAsia"/>
          <w:kern w:val="0"/>
          <w:sz w:val="32"/>
          <w:szCs w:val="32"/>
        </w:rPr>
        <w:t>》和《四川省人民政府关于推进健康四川行动</w:t>
      </w:r>
      <w:r w:rsidR="00D1413B">
        <w:rPr>
          <w:rFonts w:ascii="仿宋_GB2312" w:eastAsia="仿宋_GB2312" w:hAnsi="仿宋" w:cs="宋体" w:hint="eastAsia"/>
          <w:kern w:val="0"/>
          <w:sz w:val="32"/>
          <w:szCs w:val="32"/>
        </w:rPr>
        <w:t>的实施</w:t>
      </w:r>
      <w:r w:rsidR="002C0139">
        <w:rPr>
          <w:rFonts w:ascii="仿宋_GB2312" w:eastAsia="仿宋_GB2312" w:hAnsi="仿宋" w:cs="宋体" w:hint="eastAsia"/>
          <w:kern w:val="0"/>
          <w:sz w:val="32"/>
          <w:szCs w:val="32"/>
        </w:rPr>
        <w:t>意见》精神，</w:t>
      </w:r>
      <w:r w:rsidRPr="0049160E">
        <w:rPr>
          <w:rFonts w:ascii="仿宋_GB2312" w:eastAsia="仿宋_GB2312" w:hAnsi="仿宋" w:cs="宋体" w:hint="eastAsia"/>
          <w:kern w:val="0"/>
          <w:sz w:val="32"/>
          <w:szCs w:val="32"/>
        </w:rPr>
        <w:t>建立健全健康四川行动监测评估机制，提高监测评估工作的科学性、规范性和有效性，制定本方案。</w:t>
      </w:r>
    </w:p>
    <w:p w:rsidR="00306939" w:rsidRPr="0049160E" w:rsidRDefault="00306939" w:rsidP="00306939">
      <w:pPr>
        <w:spacing w:line="580" w:lineRule="exact"/>
        <w:ind w:firstLineChars="200" w:firstLine="640"/>
        <w:rPr>
          <w:rFonts w:ascii="黑体" w:eastAsia="黑体" w:hAnsi="黑体" w:cs="宋体"/>
          <w:kern w:val="0"/>
          <w:sz w:val="32"/>
          <w:szCs w:val="32"/>
        </w:rPr>
      </w:pPr>
      <w:r w:rsidRPr="0049160E">
        <w:rPr>
          <w:rFonts w:ascii="黑体" w:eastAsia="黑体" w:hAnsi="黑体" w:cs="宋体" w:hint="eastAsia"/>
          <w:kern w:val="0"/>
          <w:sz w:val="32"/>
          <w:szCs w:val="32"/>
        </w:rPr>
        <w:t>一、监测目的</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（一）全面掌握目标指标实现情况。</w:t>
      </w:r>
      <w:r w:rsidRPr="0049160E">
        <w:rPr>
          <w:rFonts w:ascii="仿宋_GB2312" w:eastAsia="仿宋_GB2312" w:hAnsi="仿宋" w:cs="宋体" w:hint="eastAsia"/>
          <w:kern w:val="0"/>
          <w:sz w:val="32"/>
          <w:szCs w:val="32"/>
        </w:rPr>
        <w:t>通过动态监测和定期评估目标指标实现情况，全面掌握健康四川行动的推进情况和成效，及时发现薄弱环节和存在问题，提出解决办法，确保行动各项目标、指标如期实现。</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（二）推动各专项行动有效落实。</w:t>
      </w:r>
      <w:r w:rsidRPr="0049160E">
        <w:rPr>
          <w:rFonts w:ascii="仿宋_GB2312" w:eastAsia="仿宋_GB2312" w:hAnsi="仿宋" w:cs="宋体" w:hint="eastAsia"/>
          <w:kern w:val="0"/>
          <w:sz w:val="32"/>
          <w:szCs w:val="32"/>
        </w:rPr>
        <w:t>通过建立完善监测评估机制，对各专项行动落实情况进行评估，及时发现进展缓慢的环节，加大推进力度，确保健康四川行动所提出的各项举措得以有效落实。</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（三）为考核评价提供基础数据。</w:t>
      </w:r>
      <w:r w:rsidRPr="0049160E">
        <w:rPr>
          <w:rFonts w:ascii="仿宋_GB2312" w:eastAsia="仿宋_GB2312" w:hAnsi="仿宋" w:cs="宋体" w:hint="eastAsia"/>
          <w:kern w:val="0"/>
          <w:sz w:val="32"/>
          <w:szCs w:val="32"/>
        </w:rPr>
        <w:t>监测评估结果将作为健康四川行动考核评价的主要基础，指导、引领健康四川行动向着更科学、有效的方向进展。</w:t>
      </w:r>
    </w:p>
    <w:p w:rsidR="00306939" w:rsidRPr="0049160E" w:rsidRDefault="00306939" w:rsidP="00306939">
      <w:pPr>
        <w:spacing w:line="580" w:lineRule="exact"/>
        <w:ind w:firstLineChars="200" w:firstLine="640"/>
        <w:rPr>
          <w:rFonts w:ascii="黑体" w:eastAsia="黑体" w:hAnsi="黑体" w:cs="宋体"/>
          <w:kern w:val="0"/>
          <w:sz w:val="32"/>
          <w:szCs w:val="32"/>
        </w:rPr>
      </w:pPr>
      <w:r w:rsidRPr="0049160E">
        <w:rPr>
          <w:rFonts w:ascii="黑体" w:eastAsia="黑体" w:hAnsi="黑体" w:cs="宋体" w:hint="eastAsia"/>
          <w:kern w:val="0"/>
          <w:sz w:val="32"/>
          <w:szCs w:val="32"/>
        </w:rPr>
        <w:t>二、基本原则</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lastRenderedPageBreak/>
        <w:t>（一）坚持统一性。</w:t>
      </w:r>
      <w:r w:rsidRPr="0049160E">
        <w:rPr>
          <w:rFonts w:ascii="仿宋_GB2312" w:eastAsia="仿宋_GB2312" w:hAnsi="仿宋" w:cs="宋体" w:hint="eastAsia"/>
          <w:kern w:val="0"/>
          <w:sz w:val="32"/>
          <w:szCs w:val="32"/>
        </w:rPr>
        <w:t>根据《健康中国行动</w:t>
      </w:r>
      <w:r w:rsidR="00D1413B">
        <w:rPr>
          <w:rFonts w:ascii="仿宋_GB2312" w:eastAsia="仿宋_GB2312" w:hAnsi="仿宋" w:cs="宋体" w:hint="eastAsia"/>
          <w:kern w:val="0"/>
          <w:sz w:val="32"/>
          <w:szCs w:val="32"/>
        </w:rPr>
        <w:t>（2019-2030年）</w:t>
      </w:r>
      <w:r w:rsidRPr="0049160E">
        <w:rPr>
          <w:rFonts w:ascii="仿宋_GB2312" w:eastAsia="仿宋_GB2312" w:hAnsi="仿宋" w:cs="宋体" w:hint="eastAsia"/>
          <w:kern w:val="0"/>
          <w:sz w:val="32"/>
          <w:szCs w:val="32"/>
        </w:rPr>
        <w:t>》和《“健康四川2030”规划纲要》设定的目标任务，建立相对稳定的监测评估指标体系，确保横向和纵向可比。</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（二）突出针对性。</w:t>
      </w:r>
      <w:r w:rsidRPr="0049160E">
        <w:rPr>
          <w:rFonts w:ascii="仿宋_GB2312" w:eastAsia="仿宋_GB2312" w:hAnsi="仿宋" w:cs="宋体" w:hint="eastAsia"/>
          <w:kern w:val="0"/>
          <w:sz w:val="32"/>
          <w:szCs w:val="32"/>
        </w:rPr>
        <w:t>在主要指标保持相对稳定的基础上，突出重点领域和年度任务要求，科学合理、动态调整年度监测指标，切实提高年度监测评估的针对性，及时反映健康四川行动实施进展成效。</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（三）注重差异性。</w:t>
      </w:r>
      <w:r w:rsidRPr="0049160E">
        <w:rPr>
          <w:rFonts w:ascii="仿宋_GB2312" w:eastAsia="仿宋_GB2312" w:hAnsi="仿宋" w:cs="宋体" w:hint="eastAsia"/>
          <w:kern w:val="0"/>
          <w:sz w:val="32"/>
          <w:szCs w:val="32"/>
        </w:rPr>
        <w:t>根据监测评估指标体系的特点，充分考虑各市（州）的工作基础、发展水平以及发展空间的差异性，科学合理确定评估方法，确保评估结果真实反映客观情况和各地区努力程度。</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（四）兼顾代表性和可得性。</w:t>
      </w:r>
      <w:r w:rsidRPr="0049160E">
        <w:rPr>
          <w:rFonts w:ascii="仿宋_GB2312" w:eastAsia="仿宋_GB2312" w:hAnsi="仿宋" w:cs="宋体" w:hint="eastAsia"/>
          <w:kern w:val="0"/>
          <w:sz w:val="32"/>
          <w:szCs w:val="32"/>
        </w:rPr>
        <w:t>监测评估指标以定量为主，均衡覆盖各专项行动，尽量使用已纳入统计制度和调查系统的规范统计数据，确保各项指标具备较好的代表性和可操作性。</w:t>
      </w:r>
    </w:p>
    <w:p w:rsidR="00306939" w:rsidRPr="0049160E" w:rsidRDefault="00306939" w:rsidP="00306939">
      <w:pPr>
        <w:spacing w:line="580" w:lineRule="exact"/>
        <w:ind w:firstLineChars="200" w:firstLine="640"/>
        <w:rPr>
          <w:rFonts w:ascii="黑体" w:eastAsia="黑体" w:hAnsi="黑体" w:cs="宋体"/>
          <w:kern w:val="0"/>
          <w:sz w:val="32"/>
          <w:szCs w:val="32"/>
        </w:rPr>
      </w:pPr>
      <w:r w:rsidRPr="0049160E">
        <w:rPr>
          <w:rFonts w:ascii="黑体" w:eastAsia="黑体" w:hAnsi="黑体" w:cs="宋体" w:hint="eastAsia"/>
          <w:kern w:val="0"/>
          <w:sz w:val="32"/>
          <w:szCs w:val="32"/>
        </w:rPr>
        <w:t>三、监测周期</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仿宋_GB2312" w:eastAsia="仿宋_GB2312" w:hAnsi="仿宋" w:cs="宋体" w:hint="eastAsia"/>
          <w:kern w:val="0"/>
          <w:sz w:val="32"/>
          <w:szCs w:val="32"/>
        </w:rPr>
        <w:t>监测评估以年度为周期，主要反映健康四川各专项行动目标任务年度进展情况。</w:t>
      </w:r>
    </w:p>
    <w:p w:rsidR="00306939" w:rsidRPr="0049160E" w:rsidRDefault="00306939" w:rsidP="00306939">
      <w:pPr>
        <w:spacing w:line="580" w:lineRule="exact"/>
        <w:ind w:firstLineChars="200" w:firstLine="640"/>
        <w:rPr>
          <w:rFonts w:ascii="黑体" w:eastAsia="黑体" w:hAnsi="黑体" w:cs="宋体"/>
          <w:kern w:val="0"/>
          <w:sz w:val="32"/>
          <w:szCs w:val="32"/>
        </w:rPr>
      </w:pPr>
      <w:r w:rsidRPr="0049160E">
        <w:rPr>
          <w:rFonts w:ascii="黑体" w:eastAsia="黑体" w:hAnsi="黑体" w:cs="宋体" w:hint="eastAsia"/>
          <w:kern w:val="0"/>
          <w:sz w:val="32"/>
          <w:szCs w:val="32"/>
        </w:rPr>
        <w:t>四、实施主体</w:t>
      </w:r>
    </w:p>
    <w:p w:rsidR="00306939" w:rsidRDefault="00306939" w:rsidP="00306939">
      <w:pPr>
        <w:spacing w:line="580" w:lineRule="exact"/>
        <w:ind w:firstLineChars="200" w:firstLine="640"/>
        <w:rPr>
          <w:rFonts w:ascii="仿宋_GB2312" w:eastAsia="仿宋_GB2312" w:hAnsi="仿宋" w:cs="宋体"/>
          <w:kern w:val="0"/>
          <w:sz w:val="32"/>
          <w:szCs w:val="32"/>
        </w:rPr>
      </w:pPr>
      <w:r w:rsidRPr="0049160E">
        <w:rPr>
          <w:rFonts w:ascii="仿宋_GB2312" w:eastAsia="仿宋_GB2312" w:hAnsi="仿宋" w:cs="宋体" w:hint="eastAsia"/>
          <w:kern w:val="0"/>
          <w:sz w:val="32"/>
          <w:szCs w:val="32"/>
        </w:rPr>
        <w:t>监测评估工作由健康四川行动推进委员会统筹领导，</w:t>
      </w:r>
      <w:r w:rsidR="0096755E">
        <w:rPr>
          <w:rFonts w:ascii="仿宋_GB2312" w:eastAsia="仿宋_GB2312" w:hAnsi="仿宋" w:cs="宋体" w:hint="eastAsia"/>
          <w:kern w:val="0"/>
          <w:sz w:val="32"/>
          <w:szCs w:val="32"/>
        </w:rPr>
        <w:t>健康四川行动</w:t>
      </w:r>
      <w:r w:rsidRPr="0049160E">
        <w:rPr>
          <w:rFonts w:ascii="仿宋_GB2312" w:eastAsia="仿宋_GB2312" w:hAnsi="仿宋" w:cs="宋体" w:hint="eastAsia"/>
          <w:kern w:val="0"/>
          <w:sz w:val="32"/>
          <w:szCs w:val="32"/>
        </w:rPr>
        <w:t>推进委员会办公室负责总体安排，各专项行动牵头单位（部门）负责具体组织实施，专家咨询委员会为监测评估工作提</w:t>
      </w:r>
      <w:r w:rsidRPr="0049160E">
        <w:rPr>
          <w:rFonts w:ascii="仿宋_GB2312" w:eastAsia="仿宋_GB2312" w:hAnsi="仿宋" w:cs="宋体" w:hint="eastAsia"/>
          <w:kern w:val="0"/>
          <w:sz w:val="32"/>
          <w:szCs w:val="32"/>
        </w:rPr>
        <w:lastRenderedPageBreak/>
        <w:t>供智力和技术支撑。各市（州）结合自身实际，完成辖区内</w:t>
      </w:r>
      <w:r>
        <w:rPr>
          <w:rFonts w:ascii="仿宋_GB2312" w:eastAsia="仿宋_GB2312" w:hAnsi="仿宋" w:cs="宋体" w:hint="eastAsia"/>
          <w:kern w:val="0"/>
          <w:sz w:val="32"/>
          <w:szCs w:val="32"/>
        </w:rPr>
        <w:t>各项指标</w:t>
      </w:r>
      <w:r w:rsidRPr="0049160E">
        <w:rPr>
          <w:rFonts w:ascii="仿宋_GB2312" w:eastAsia="仿宋_GB2312" w:hAnsi="仿宋" w:cs="宋体" w:hint="eastAsia"/>
          <w:kern w:val="0"/>
          <w:sz w:val="32"/>
          <w:szCs w:val="32"/>
        </w:rPr>
        <w:t>监测评估工作。</w:t>
      </w:r>
    </w:p>
    <w:p w:rsidR="00306939" w:rsidRPr="0049160E" w:rsidRDefault="00306939" w:rsidP="00306939">
      <w:pPr>
        <w:spacing w:line="580" w:lineRule="exact"/>
        <w:ind w:firstLineChars="200" w:firstLine="640"/>
        <w:rPr>
          <w:rFonts w:ascii="黑体" w:eastAsia="黑体" w:hAnsi="黑体" w:cs="宋体"/>
          <w:kern w:val="0"/>
          <w:sz w:val="32"/>
          <w:szCs w:val="32"/>
        </w:rPr>
      </w:pPr>
      <w:r w:rsidRPr="0049160E">
        <w:rPr>
          <w:rFonts w:ascii="黑体" w:eastAsia="黑体" w:hAnsi="黑体" w:cs="宋体" w:hint="eastAsia"/>
          <w:kern w:val="0"/>
          <w:sz w:val="32"/>
          <w:szCs w:val="32"/>
        </w:rPr>
        <w:t>五、监测</w:t>
      </w:r>
      <w:r>
        <w:rPr>
          <w:rFonts w:ascii="黑体" w:eastAsia="黑体" w:hAnsi="黑体" w:cs="宋体" w:hint="eastAsia"/>
          <w:kern w:val="0"/>
          <w:sz w:val="32"/>
          <w:szCs w:val="32"/>
        </w:rPr>
        <w:t>方法</w:t>
      </w:r>
    </w:p>
    <w:p w:rsidR="00306939" w:rsidRPr="002A4429" w:rsidRDefault="00306939" w:rsidP="00306939">
      <w:pPr>
        <w:spacing w:line="580" w:lineRule="exact"/>
        <w:ind w:firstLineChars="200" w:firstLine="640"/>
        <w:rPr>
          <w:rFonts w:ascii="仿宋_GB2312" w:eastAsia="仿宋_GB2312" w:hAnsi="仿宋" w:cs="宋体"/>
          <w:kern w:val="0"/>
          <w:sz w:val="32"/>
          <w:szCs w:val="32"/>
        </w:rPr>
      </w:pPr>
      <w:r w:rsidRPr="006B04FF">
        <w:rPr>
          <w:rFonts w:ascii="仿宋_GB2312" w:eastAsia="仿宋_GB2312" w:hAnsi="仿宋" w:cs="宋体" w:hint="eastAsia"/>
          <w:kern w:val="0"/>
          <w:sz w:val="32"/>
          <w:szCs w:val="32"/>
        </w:rPr>
        <w:t>采取动态监测、定期评估、专项评估、地方自评、总体监测评估等监测方法。</w:t>
      </w:r>
    </w:p>
    <w:p w:rsidR="00306939" w:rsidRPr="0049160E" w:rsidRDefault="00306939" w:rsidP="00306939">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w:t>
      </w:r>
      <w:r w:rsidRPr="0049160E">
        <w:rPr>
          <w:rFonts w:ascii="黑体" w:eastAsia="黑体" w:hAnsi="黑体" w:cs="宋体" w:hint="eastAsia"/>
          <w:kern w:val="0"/>
          <w:sz w:val="32"/>
          <w:szCs w:val="32"/>
        </w:rPr>
        <w:t>、监测内容</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（一）监测评估指标体系。</w:t>
      </w:r>
      <w:r w:rsidRPr="0049160E">
        <w:rPr>
          <w:rFonts w:ascii="仿宋_GB2312" w:eastAsia="仿宋_GB2312" w:hAnsi="仿宋" w:cs="宋体" w:hint="eastAsia"/>
          <w:kern w:val="0"/>
          <w:sz w:val="32"/>
          <w:szCs w:val="32"/>
        </w:rPr>
        <w:t>围绕健康四川行动18项专项行动，以《健康中国行动（2019-2030年）》确定的124项主要指标和《健康四川行动考核评价指导方案》确定的26项试考核指标为基础，综合考虑统计调查基础和数据可获得性，经专家咨询委员会专家论证，</w:t>
      </w:r>
      <w:r>
        <w:rPr>
          <w:rFonts w:ascii="仿宋_GB2312" w:eastAsia="仿宋_GB2312" w:hAnsi="仿宋" w:cs="宋体" w:hint="eastAsia"/>
          <w:kern w:val="0"/>
          <w:sz w:val="32"/>
          <w:szCs w:val="32"/>
        </w:rPr>
        <w:t>结合《健康四川行动专项行动方案（2020-2030年）》中目标指标要求，</w:t>
      </w:r>
      <w:r w:rsidRPr="0049160E">
        <w:rPr>
          <w:rFonts w:ascii="仿宋_GB2312" w:eastAsia="仿宋_GB2312" w:hAnsi="仿宋" w:cs="宋体" w:hint="eastAsia"/>
          <w:kern w:val="0"/>
          <w:sz w:val="32"/>
          <w:szCs w:val="32"/>
        </w:rPr>
        <w:t>搭建包涵20项一级指标，</w:t>
      </w:r>
      <w:r>
        <w:rPr>
          <w:rFonts w:ascii="仿宋_GB2312" w:eastAsia="仿宋_GB2312" w:hAnsi="仿宋" w:cs="宋体" w:hint="eastAsia"/>
          <w:kern w:val="0"/>
          <w:sz w:val="32"/>
          <w:szCs w:val="32"/>
        </w:rPr>
        <w:t>108</w:t>
      </w:r>
      <w:r w:rsidRPr="0049160E">
        <w:rPr>
          <w:rFonts w:ascii="仿宋_GB2312" w:eastAsia="仿宋_GB2312" w:hAnsi="仿宋" w:cs="宋体" w:hint="eastAsia"/>
          <w:kern w:val="0"/>
          <w:sz w:val="32"/>
          <w:szCs w:val="32"/>
        </w:rPr>
        <w:t>项二级指标，覆盖18项专项行动的健康四川行动监测评估指标体系（附</w:t>
      </w:r>
      <w:r>
        <w:rPr>
          <w:rFonts w:ascii="仿宋_GB2312" w:eastAsia="仿宋_GB2312" w:hAnsi="仿宋" w:cs="宋体" w:hint="eastAsia"/>
          <w:kern w:val="0"/>
          <w:sz w:val="32"/>
          <w:szCs w:val="32"/>
        </w:rPr>
        <w:t>表</w:t>
      </w:r>
      <w:r w:rsidRPr="0049160E">
        <w:rPr>
          <w:rFonts w:ascii="仿宋_GB2312" w:eastAsia="仿宋_GB2312" w:hAnsi="仿宋" w:cs="宋体" w:hint="eastAsia"/>
          <w:kern w:val="0"/>
          <w:sz w:val="32"/>
          <w:szCs w:val="32"/>
        </w:rPr>
        <w:t>）。</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（二）年度重点任务动态指标。</w:t>
      </w:r>
      <w:r w:rsidRPr="0049160E">
        <w:rPr>
          <w:rFonts w:ascii="仿宋_GB2312" w:eastAsia="仿宋_GB2312" w:hAnsi="仿宋" w:cs="宋体" w:hint="eastAsia"/>
          <w:kern w:val="0"/>
          <w:sz w:val="32"/>
          <w:szCs w:val="32"/>
        </w:rPr>
        <w:t>根据健康四川行动的年度重点任务，定期调整、增加纳入监测的动态指标。</w:t>
      </w:r>
    </w:p>
    <w:p w:rsidR="00306939" w:rsidRPr="0049160E" w:rsidRDefault="00306939" w:rsidP="00306939">
      <w:pPr>
        <w:spacing w:line="580" w:lineRule="exact"/>
        <w:ind w:firstLineChars="200" w:firstLine="640"/>
        <w:rPr>
          <w:rFonts w:ascii="黑体" w:eastAsia="黑体" w:hAnsi="黑体"/>
          <w:sz w:val="32"/>
          <w:szCs w:val="32"/>
        </w:rPr>
      </w:pPr>
      <w:r>
        <w:rPr>
          <w:rFonts w:ascii="黑体" w:eastAsia="黑体" w:hAnsi="黑体" w:hint="eastAsia"/>
          <w:sz w:val="32"/>
          <w:szCs w:val="32"/>
        </w:rPr>
        <w:t>七</w:t>
      </w:r>
      <w:r w:rsidRPr="0049160E">
        <w:rPr>
          <w:rFonts w:ascii="黑体" w:eastAsia="黑体" w:hAnsi="黑体" w:hint="eastAsia"/>
          <w:sz w:val="32"/>
          <w:szCs w:val="32"/>
        </w:rPr>
        <w:t>、监测评估程序</w:t>
      </w:r>
    </w:p>
    <w:p w:rsidR="00306939" w:rsidRPr="0049160E" w:rsidRDefault="00306939" w:rsidP="00306939">
      <w:pPr>
        <w:spacing w:line="580" w:lineRule="exact"/>
        <w:ind w:firstLineChars="200" w:firstLine="640"/>
        <w:rPr>
          <w:rFonts w:ascii="仿宋_GB2312" w:eastAsia="仿宋_GB2312"/>
          <w:sz w:val="32"/>
          <w:szCs w:val="32"/>
        </w:rPr>
      </w:pPr>
      <w:r w:rsidRPr="0049160E">
        <w:rPr>
          <w:rFonts w:ascii="楷体_GB2312" w:eastAsia="楷体_GB2312" w:hAnsi="仿宋" w:cs="宋体" w:hint="eastAsia"/>
          <w:kern w:val="0"/>
          <w:sz w:val="32"/>
          <w:szCs w:val="32"/>
        </w:rPr>
        <w:t>（一）专项评估。</w:t>
      </w:r>
      <w:r w:rsidRPr="0049160E">
        <w:rPr>
          <w:rFonts w:ascii="仿宋_GB2312" w:eastAsia="仿宋_GB2312" w:hAnsi="仿宋" w:cs="宋体" w:hint="eastAsia"/>
          <w:kern w:val="0"/>
          <w:sz w:val="32"/>
          <w:szCs w:val="32"/>
        </w:rPr>
        <w:t>各专项行动牵头单位（部门）及时收集监测评估指标体系及动态指标相关数据，结合本专项实际，形成各专项行动</w:t>
      </w:r>
      <w:r>
        <w:rPr>
          <w:rFonts w:ascii="仿宋_GB2312" w:eastAsia="仿宋_GB2312" w:hAnsi="仿宋" w:cs="宋体" w:hint="eastAsia"/>
          <w:kern w:val="0"/>
          <w:sz w:val="32"/>
          <w:szCs w:val="32"/>
        </w:rPr>
        <w:t>年度</w:t>
      </w:r>
      <w:r w:rsidRPr="0049160E">
        <w:rPr>
          <w:rFonts w:ascii="仿宋_GB2312" w:eastAsia="仿宋_GB2312" w:hAnsi="仿宋" w:cs="宋体" w:hint="eastAsia"/>
          <w:kern w:val="0"/>
          <w:sz w:val="32"/>
          <w:szCs w:val="32"/>
        </w:rPr>
        <w:t>监测评估专题报告，</w:t>
      </w:r>
      <w:r>
        <w:rPr>
          <w:rFonts w:ascii="仿宋_GB2312" w:eastAsia="仿宋_GB2312" w:hAnsi="仿宋" w:cs="宋体" w:hint="eastAsia"/>
          <w:kern w:val="0"/>
          <w:sz w:val="32"/>
          <w:szCs w:val="32"/>
        </w:rPr>
        <w:t>于次年2月底前</w:t>
      </w:r>
      <w:r w:rsidRPr="0049160E">
        <w:rPr>
          <w:rFonts w:ascii="仿宋_GB2312" w:eastAsia="仿宋_GB2312" w:hAnsi="仿宋" w:cs="宋体" w:hint="eastAsia"/>
          <w:kern w:val="0"/>
          <w:sz w:val="32"/>
          <w:szCs w:val="32"/>
        </w:rPr>
        <w:t>报送</w:t>
      </w:r>
      <w:r w:rsidR="0096755E">
        <w:rPr>
          <w:rFonts w:ascii="仿宋_GB2312" w:eastAsia="仿宋_GB2312" w:hAnsi="仿宋" w:cs="宋体" w:hint="eastAsia"/>
          <w:kern w:val="0"/>
          <w:sz w:val="32"/>
          <w:szCs w:val="32"/>
        </w:rPr>
        <w:t>健康四川行动</w:t>
      </w:r>
      <w:r w:rsidRPr="0049160E">
        <w:rPr>
          <w:rFonts w:ascii="仿宋_GB2312" w:eastAsia="仿宋_GB2312" w:hAnsi="仿宋" w:cs="宋体" w:hint="eastAsia"/>
          <w:kern w:val="0"/>
          <w:sz w:val="32"/>
          <w:szCs w:val="32"/>
        </w:rPr>
        <w:t>推进委员会办公室。</w:t>
      </w:r>
      <w:r w:rsidRPr="00A519B4">
        <w:rPr>
          <w:rFonts w:ascii="仿宋_GB2312" w:eastAsia="仿宋_GB2312" w:hint="eastAsia"/>
          <w:sz w:val="32"/>
          <w:szCs w:val="32"/>
        </w:rPr>
        <w:t>各级专项行动责任单位（部门）对各级</w:t>
      </w:r>
      <w:r w:rsidRPr="00A519B4">
        <w:rPr>
          <w:rFonts w:ascii="仿宋_GB2312" w:eastAsia="仿宋_GB2312" w:hint="eastAsia"/>
          <w:sz w:val="32"/>
          <w:szCs w:val="32"/>
        </w:rPr>
        <w:lastRenderedPageBreak/>
        <w:t>监测数据真实性负责。</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（二）</w:t>
      </w:r>
      <w:r w:rsidR="00D1413B">
        <w:rPr>
          <w:rFonts w:ascii="楷体_GB2312" w:eastAsia="楷体_GB2312" w:hAnsi="仿宋" w:cs="宋体" w:hint="eastAsia"/>
          <w:kern w:val="0"/>
          <w:sz w:val="32"/>
          <w:szCs w:val="32"/>
        </w:rPr>
        <w:t>各地</w:t>
      </w:r>
      <w:r w:rsidRPr="0049160E">
        <w:rPr>
          <w:rFonts w:ascii="楷体_GB2312" w:eastAsia="楷体_GB2312" w:hAnsi="仿宋" w:cs="宋体" w:hint="eastAsia"/>
          <w:kern w:val="0"/>
          <w:sz w:val="32"/>
          <w:szCs w:val="32"/>
        </w:rPr>
        <w:t>自评。</w:t>
      </w:r>
      <w:r w:rsidRPr="0049160E">
        <w:rPr>
          <w:rFonts w:ascii="仿宋_GB2312" w:eastAsia="仿宋_GB2312" w:hAnsi="仿宋" w:cs="宋体" w:hint="eastAsia"/>
          <w:kern w:val="0"/>
          <w:sz w:val="32"/>
          <w:szCs w:val="32"/>
        </w:rPr>
        <w:t>各市（州）以健康四川行动监测评估指标体系为基础，结合本地实际，形成当地</w:t>
      </w:r>
      <w:r>
        <w:rPr>
          <w:rFonts w:ascii="仿宋_GB2312" w:eastAsia="仿宋_GB2312" w:hAnsi="仿宋" w:cs="宋体" w:hint="eastAsia"/>
          <w:kern w:val="0"/>
          <w:sz w:val="32"/>
          <w:szCs w:val="32"/>
        </w:rPr>
        <w:t>年度</w:t>
      </w:r>
      <w:r w:rsidRPr="0049160E">
        <w:rPr>
          <w:rFonts w:ascii="仿宋_GB2312" w:eastAsia="仿宋_GB2312" w:hAnsi="仿宋" w:cs="宋体" w:hint="eastAsia"/>
          <w:kern w:val="0"/>
          <w:sz w:val="32"/>
          <w:szCs w:val="32"/>
        </w:rPr>
        <w:t>健康四川行动监测自评报告，</w:t>
      </w:r>
      <w:r>
        <w:rPr>
          <w:rFonts w:ascii="仿宋_GB2312" w:eastAsia="仿宋_GB2312" w:hAnsi="仿宋" w:cs="宋体" w:hint="eastAsia"/>
          <w:kern w:val="0"/>
          <w:sz w:val="32"/>
          <w:szCs w:val="32"/>
        </w:rPr>
        <w:t>于次年2月底前</w:t>
      </w:r>
      <w:r w:rsidRPr="0049160E">
        <w:rPr>
          <w:rFonts w:ascii="仿宋_GB2312" w:eastAsia="仿宋_GB2312" w:hAnsi="仿宋" w:cs="宋体" w:hint="eastAsia"/>
          <w:kern w:val="0"/>
          <w:sz w:val="32"/>
          <w:szCs w:val="32"/>
        </w:rPr>
        <w:t>报送</w:t>
      </w:r>
      <w:r w:rsidR="0096755E">
        <w:rPr>
          <w:rFonts w:ascii="仿宋_GB2312" w:eastAsia="仿宋_GB2312" w:hAnsi="仿宋" w:cs="宋体" w:hint="eastAsia"/>
          <w:kern w:val="0"/>
          <w:sz w:val="32"/>
          <w:szCs w:val="32"/>
        </w:rPr>
        <w:t>健康四川行动</w:t>
      </w:r>
      <w:r w:rsidRPr="0049160E">
        <w:rPr>
          <w:rFonts w:ascii="仿宋_GB2312" w:eastAsia="仿宋_GB2312" w:hAnsi="仿宋" w:cs="宋体" w:hint="eastAsia"/>
          <w:kern w:val="0"/>
          <w:sz w:val="32"/>
          <w:szCs w:val="32"/>
        </w:rPr>
        <w:t>推进委员会办公室。</w:t>
      </w:r>
      <w:r w:rsidRPr="0049160E">
        <w:rPr>
          <w:rFonts w:ascii="仿宋_GB2312" w:eastAsia="仿宋_GB2312" w:hint="eastAsia"/>
          <w:sz w:val="32"/>
          <w:szCs w:val="32"/>
        </w:rPr>
        <w:t>各</w:t>
      </w:r>
      <w:r>
        <w:rPr>
          <w:rFonts w:ascii="仿宋_GB2312" w:eastAsia="仿宋_GB2312" w:hint="eastAsia"/>
          <w:sz w:val="32"/>
          <w:szCs w:val="32"/>
        </w:rPr>
        <w:t>地</w:t>
      </w:r>
      <w:r w:rsidRPr="0049160E">
        <w:rPr>
          <w:rFonts w:ascii="仿宋_GB2312" w:eastAsia="仿宋_GB2312" w:hint="eastAsia"/>
          <w:sz w:val="32"/>
          <w:szCs w:val="32"/>
        </w:rPr>
        <w:t>对</w:t>
      </w:r>
      <w:r>
        <w:rPr>
          <w:rFonts w:ascii="仿宋_GB2312" w:eastAsia="仿宋_GB2312" w:hint="eastAsia"/>
          <w:sz w:val="32"/>
          <w:szCs w:val="32"/>
        </w:rPr>
        <w:t>提供的</w:t>
      </w:r>
      <w:r w:rsidRPr="0049160E">
        <w:rPr>
          <w:rFonts w:ascii="仿宋_GB2312" w:eastAsia="仿宋_GB2312" w:hint="eastAsia"/>
          <w:sz w:val="32"/>
          <w:szCs w:val="32"/>
        </w:rPr>
        <w:t>监测数据真实性负责。</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r w:rsidRPr="0049160E">
        <w:rPr>
          <w:rFonts w:ascii="楷体_GB2312" w:eastAsia="楷体_GB2312" w:hAnsi="仿宋" w:cs="宋体" w:hint="eastAsia"/>
          <w:kern w:val="0"/>
          <w:sz w:val="32"/>
          <w:szCs w:val="32"/>
        </w:rPr>
        <w:t>（三）总体监测评估。</w:t>
      </w:r>
      <w:r w:rsidR="0096755E" w:rsidRPr="0053258D">
        <w:rPr>
          <w:rFonts w:ascii="仿宋_GB2312" w:eastAsia="仿宋_GB2312" w:hAnsi="仿宋" w:cs="宋体" w:hint="eastAsia"/>
          <w:kern w:val="0"/>
          <w:sz w:val="32"/>
          <w:szCs w:val="32"/>
        </w:rPr>
        <w:t>健康四川行动</w:t>
      </w:r>
      <w:r w:rsidRPr="0049160E">
        <w:rPr>
          <w:rFonts w:ascii="仿宋_GB2312" w:eastAsia="仿宋_GB2312" w:hAnsi="仿宋" w:cs="宋体" w:hint="eastAsia"/>
          <w:kern w:val="0"/>
          <w:sz w:val="32"/>
          <w:szCs w:val="32"/>
        </w:rPr>
        <w:t>推进委员会办公室根据专项评估、和地方自评报告，参考不定期实地调研情况，形成健康四川行动监测评估报告。</w:t>
      </w:r>
    </w:p>
    <w:p w:rsidR="00306939" w:rsidRPr="0049160E" w:rsidRDefault="00306939" w:rsidP="00306939">
      <w:pPr>
        <w:spacing w:line="580" w:lineRule="exact"/>
        <w:ind w:firstLineChars="200" w:firstLine="640"/>
        <w:rPr>
          <w:rFonts w:ascii="仿宋_GB2312" w:eastAsia="仿宋_GB2312" w:hAnsi="仿宋" w:cs="宋体"/>
          <w:kern w:val="0"/>
          <w:sz w:val="32"/>
          <w:szCs w:val="32"/>
        </w:rPr>
      </w:pPr>
    </w:p>
    <w:p w:rsidR="00C3230E" w:rsidRDefault="00306939" w:rsidP="00306939">
      <w:pPr>
        <w:adjustRightInd w:val="0"/>
        <w:snapToGrid w:val="0"/>
        <w:spacing w:line="550" w:lineRule="exact"/>
        <w:ind w:firstLineChars="200" w:firstLine="640"/>
        <w:textAlignment w:val="baseline"/>
        <w:rPr>
          <w:rFonts w:ascii="黑体" w:eastAsia="黑体"/>
          <w:snapToGrid w:val="0"/>
          <w:kern w:val="0"/>
          <w:sz w:val="28"/>
          <w:szCs w:val="28"/>
        </w:rPr>
      </w:pPr>
      <w:r w:rsidRPr="0049160E">
        <w:rPr>
          <w:rFonts w:ascii="仿宋_GB2312" w:eastAsia="仿宋_GB2312" w:hAnsi="仿宋" w:cs="宋体" w:hint="eastAsia"/>
          <w:kern w:val="0"/>
          <w:sz w:val="32"/>
          <w:szCs w:val="32"/>
        </w:rPr>
        <w:t>附</w:t>
      </w:r>
      <w:r w:rsidR="00D1413B">
        <w:rPr>
          <w:rFonts w:ascii="仿宋_GB2312" w:eastAsia="仿宋_GB2312" w:hAnsi="仿宋" w:cs="宋体" w:hint="eastAsia"/>
          <w:kern w:val="0"/>
          <w:sz w:val="32"/>
          <w:szCs w:val="32"/>
        </w:rPr>
        <w:t>件</w:t>
      </w:r>
      <w:r w:rsidRPr="0049160E">
        <w:rPr>
          <w:rFonts w:ascii="仿宋_GB2312" w:eastAsia="仿宋_GB2312" w:hAnsi="仿宋" w:cs="宋体" w:hint="eastAsia"/>
          <w:kern w:val="0"/>
          <w:sz w:val="32"/>
          <w:szCs w:val="32"/>
        </w:rPr>
        <w:t>：健康四川行动监测评估</w:t>
      </w:r>
      <w:r>
        <w:rPr>
          <w:rFonts w:ascii="仿宋_GB2312" w:eastAsia="仿宋_GB2312" w:hAnsi="仿宋" w:cs="宋体" w:hint="eastAsia"/>
          <w:kern w:val="0"/>
          <w:sz w:val="32"/>
          <w:szCs w:val="32"/>
        </w:rPr>
        <w:t>指标</w:t>
      </w:r>
      <w:r w:rsidRPr="0049160E">
        <w:rPr>
          <w:rFonts w:ascii="仿宋_GB2312" w:eastAsia="仿宋_GB2312" w:hAnsi="仿宋" w:cs="宋体" w:hint="eastAsia"/>
          <w:kern w:val="0"/>
          <w:sz w:val="32"/>
          <w:szCs w:val="32"/>
        </w:rPr>
        <w:t>体系</w:t>
      </w:r>
      <w:r w:rsidR="002C0139">
        <w:rPr>
          <w:rFonts w:ascii="仿宋_GB2312" w:eastAsia="仿宋_GB2312" w:hAnsi="仿宋" w:cs="宋体" w:hint="eastAsia"/>
          <w:kern w:val="0"/>
          <w:sz w:val="32"/>
          <w:szCs w:val="32"/>
        </w:rPr>
        <w:t>表</w:t>
      </w:r>
    </w:p>
    <w:p w:rsidR="00C3230E" w:rsidRDefault="00C3230E" w:rsidP="00C93192">
      <w:pPr>
        <w:tabs>
          <w:tab w:val="left" w:pos="6720"/>
        </w:tabs>
        <w:spacing w:line="600" w:lineRule="exact"/>
        <w:rPr>
          <w:rFonts w:ascii="黑体" w:eastAsia="黑体"/>
          <w:snapToGrid w:val="0"/>
          <w:kern w:val="0"/>
          <w:sz w:val="28"/>
          <w:szCs w:val="28"/>
        </w:rPr>
      </w:pPr>
      <w:r>
        <w:rPr>
          <w:rFonts w:ascii="黑体" w:eastAsia="黑体"/>
          <w:snapToGrid w:val="0"/>
          <w:kern w:val="0"/>
          <w:sz w:val="28"/>
          <w:szCs w:val="28"/>
        </w:rPr>
        <w:tab/>
      </w: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pPr>
    </w:p>
    <w:p w:rsidR="006B5C8F" w:rsidRDefault="006B5C8F" w:rsidP="00C93192">
      <w:pPr>
        <w:tabs>
          <w:tab w:val="left" w:pos="6720"/>
        </w:tabs>
        <w:spacing w:line="600" w:lineRule="exact"/>
        <w:rPr>
          <w:rFonts w:ascii="黑体" w:eastAsia="黑体"/>
          <w:snapToGrid w:val="0"/>
          <w:kern w:val="0"/>
          <w:sz w:val="32"/>
          <w:szCs w:val="32"/>
        </w:rPr>
        <w:sectPr w:rsidR="006B5C8F" w:rsidSect="00D15669">
          <w:footerReference w:type="even" r:id="rId7"/>
          <w:footerReference w:type="default" r:id="rId8"/>
          <w:footerReference w:type="first" r:id="rId9"/>
          <w:pgSz w:w="11906" w:h="16838" w:code="9"/>
          <w:pgMar w:top="2098" w:right="1474" w:bottom="1985" w:left="1588" w:header="851" w:footer="1418" w:gutter="0"/>
          <w:cols w:space="720"/>
          <w:docGrid w:type="linesAndChars" w:linePitch="312"/>
        </w:sectPr>
      </w:pPr>
    </w:p>
    <w:p w:rsidR="00306939" w:rsidRPr="00DA0422" w:rsidRDefault="00DA0422" w:rsidP="00C93192">
      <w:pPr>
        <w:tabs>
          <w:tab w:val="left" w:pos="6720"/>
        </w:tabs>
        <w:spacing w:line="600" w:lineRule="exact"/>
        <w:rPr>
          <w:rFonts w:ascii="黑体" w:eastAsia="黑体"/>
          <w:snapToGrid w:val="0"/>
          <w:kern w:val="0"/>
          <w:sz w:val="32"/>
          <w:szCs w:val="32"/>
        </w:rPr>
      </w:pPr>
      <w:r w:rsidRPr="00DA0422">
        <w:rPr>
          <w:rFonts w:ascii="黑体" w:eastAsia="黑体" w:hint="eastAsia"/>
          <w:snapToGrid w:val="0"/>
          <w:kern w:val="0"/>
          <w:sz w:val="32"/>
          <w:szCs w:val="32"/>
        </w:rPr>
        <w:lastRenderedPageBreak/>
        <w:t>附</w:t>
      </w:r>
      <w:r w:rsidR="00D1413B">
        <w:rPr>
          <w:rFonts w:ascii="黑体" w:eastAsia="黑体" w:hint="eastAsia"/>
          <w:snapToGrid w:val="0"/>
          <w:kern w:val="0"/>
          <w:sz w:val="32"/>
          <w:szCs w:val="32"/>
        </w:rPr>
        <w:t>件</w:t>
      </w:r>
    </w:p>
    <w:p w:rsidR="00DA0422" w:rsidRDefault="00DA0422" w:rsidP="00C93192">
      <w:pPr>
        <w:tabs>
          <w:tab w:val="left" w:pos="6720"/>
        </w:tabs>
        <w:spacing w:line="600" w:lineRule="exact"/>
        <w:rPr>
          <w:rFonts w:ascii="黑体" w:eastAsia="黑体"/>
          <w:snapToGrid w:val="0"/>
          <w:kern w:val="0"/>
          <w:sz w:val="28"/>
          <w:szCs w:val="28"/>
        </w:rPr>
      </w:pPr>
    </w:p>
    <w:p w:rsidR="00DA0422" w:rsidRPr="0008202C" w:rsidRDefault="00DA0422" w:rsidP="00DA0422">
      <w:pPr>
        <w:spacing w:line="580" w:lineRule="exact"/>
        <w:jc w:val="center"/>
        <w:rPr>
          <w:rFonts w:ascii="方正小标宋简体" w:eastAsia="方正小标宋简体" w:hAnsi="宋体" w:cs="宋体"/>
          <w:bCs/>
          <w:spacing w:val="-10"/>
          <w:sz w:val="44"/>
          <w:szCs w:val="44"/>
        </w:rPr>
      </w:pPr>
      <w:r w:rsidRPr="0008202C">
        <w:rPr>
          <w:rFonts w:ascii="方正小标宋简体" w:eastAsia="方正小标宋简体" w:hAnsi="宋体" w:cs="宋体" w:hint="eastAsia"/>
          <w:bCs/>
          <w:spacing w:val="-10"/>
          <w:sz w:val="44"/>
          <w:szCs w:val="44"/>
        </w:rPr>
        <w:t>健康四川行动监测</w:t>
      </w:r>
      <w:r>
        <w:rPr>
          <w:rFonts w:ascii="方正小标宋简体" w:eastAsia="方正小标宋简体" w:hAnsi="宋体" w:cs="宋体" w:hint="eastAsia"/>
          <w:bCs/>
          <w:spacing w:val="-10"/>
          <w:sz w:val="44"/>
          <w:szCs w:val="44"/>
        </w:rPr>
        <w:t>评估指标体系表</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850"/>
        <w:gridCol w:w="753"/>
        <w:gridCol w:w="1765"/>
        <w:gridCol w:w="3273"/>
        <w:gridCol w:w="2143"/>
        <w:gridCol w:w="1550"/>
        <w:gridCol w:w="1449"/>
        <w:gridCol w:w="1219"/>
        <w:gridCol w:w="832"/>
      </w:tblGrid>
      <w:tr w:rsidR="006B5C8F" w:rsidRPr="00CA76EA" w:rsidTr="00402F2F">
        <w:trPr>
          <w:cantSplit/>
          <w:trHeight w:val="585"/>
          <w:tblHeader/>
          <w:jc w:val="center"/>
        </w:trPr>
        <w:tc>
          <w:tcPr>
            <w:tcW w:w="313"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维度</w:t>
            </w:r>
          </w:p>
        </w:tc>
        <w:tc>
          <w:tcPr>
            <w:tcW w:w="288"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序号</w:t>
            </w:r>
          </w:p>
        </w:tc>
        <w:tc>
          <w:tcPr>
            <w:tcW w:w="255"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标注</w:t>
            </w:r>
          </w:p>
        </w:tc>
        <w:tc>
          <w:tcPr>
            <w:tcW w:w="598"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指标</w:t>
            </w:r>
          </w:p>
        </w:tc>
        <w:tc>
          <w:tcPr>
            <w:tcW w:w="1109"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指标内涵</w:t>
            </w:r>
          </w:p>
        </w:tc>
        <w:tc>
          <w:tcPr>
            <w:tcW w:w="726"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计算方法</w:t>
            </w:r>
          </w:p>
        </w:tc>
        <w:tc>
          <w:tcPr>
            <w:tcW w:w="525"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责任部门</w:t>
            </w:r>
          </w:p>
        </w:tc>
        <w:tc>
          <w:tcPr>
            <w:tcW w:w="491"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数据来源</w:t>
            </w:r>
          </w:p>
        </w:tc>
        <w:tc>
          <w:tcPr>
            <w:tcW w:w="413"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统计调查频次</w:t>
            </w:r>
          </w:p>
        </w:tc>
        <w:tc>
          <w:tcPr>
            <w:tcW w:w="282" w:type="pct"/>
            <w:shd w:val="clear" w:color="auto" w:fill="auto"/>
            <w:vAlign w:val="center"/>
            <w:hideMark/>
          </w:tcPr>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监测</w:t>
            </w:r>
          </w:p>
          <w:p w:rsidR="006B5C8F" w:rsidRPr="00CA76EA" w:rsidRDefault="006B5C8F" w:rsidP="00402F2F">
            <w:pPr>
              <w:spacing w:line="320" w:lineRule="exact"/>
              <w:jc w:val="center"/>
              <w:rPr>
                <w:rFonts w:ascii="黑体" w:eastAsia="黑体" w:hAnsi="黑体" w:cs="宋体"/>
                <w:color w:val="000000"/>
                <w:kern w:val="0"/>
                <w:sz w:val="24"/>
              </w:rPr>
            </w:pPr>
            <w:r w:rsidRPr="00CA76EA">
              <w:rPr>
                <w:rFonts w:ascii="黑体" w:eastAsia="黑体" w:hAnsi="黑体" w:cs="宋体" w:hint="eastAsia"/>
                <w:color w:val="000000"/>
                <w:kern w:val="0"/>
                <w:sz w:val="24"/>
              </w:rPr>
              <w:t>层级</w:t>
            </w:r>
          </w:p>
        </w:tc>
      </w:tr>
      <w:tr w:rsidR="006B5C8F" w:rsidRPr="00CA76EA" w:rsidTr="00402F2F">
        <w:trPr>
          <w:cantSplit/>
          <w:trHeight w:val="1785"/>
          <w:jc w:val="center"/>
        </w:trPr>
        <w:tc>
          <w:tcPr>
            <w:tcW w:w="313" w:type="pct"/>
            <w:vMerge w:val="restart"/>
            <w:shd w:val="clear" w:color="auto" w:fill="auto"/>
            <w:vAlign w:val="center"/>
            <w:hideMark/>
          </w:tcPr>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健康知识普及行动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健康知识普及行动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Pr="00CA76EA" w:rsidRDefault="00CA76EA"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居民健康素养水平（%）</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健康素养是指个人获取和理解基本健康信息和服务，并运用这些信息和服务作出正确决策，以维护和促进自身健康的能力。健康素养水平是指具备健康素养的人在监测总人群中所占的比例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具备基本健康素养的人数/监测人群总人数×100%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省卫生健康委宣传处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全国健康素养水平监测，及各地健康素养监测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84"/>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建立并完善健康科普专家库</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建立并完善省级和市（州）健康科普专家库，组织专家开展健康科普活动</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是否建立并完善健康科普专家库，专家数量、专业分布，参加科普活动数量、频次。</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省卫生健康委宣传处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自评报告和相关材料查阅</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8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建立并完善健康科普资源库</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建立完善省级健康科普资源库，组织专家研讨健康科普资源库建设方案</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是否建立并完善健康科普资源库，资源库包含科普资源种类及数量，使用情况。</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省卫生健康委宣传处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自评报告和相关材料查阅</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50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构建健康科普知识发布和传播机制</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建立并完善省级和市（州）健康科普资源库，出版、遴选、推介一批健康科普读物和科普材料；构建健康科普知识发布和传播的机制</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是否构建健康科普知识发布和传播机制</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省卫生健康委宣传处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自评报告和相关材料查阅</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66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人口献血率（%）</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辖区内献血人数占总人数的比例</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辖区内献血人数/总人口×100%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930"/>
          <w:jc w:val="center"/>
        </w:trPr>
        <w:tc>
          <w:tcPr>
            <w:tcW w:w="313" w:type="pct"/>
            <w:shd w:val="clear" w:color="auto" w:fill="auto"/>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合理膳食行动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D57061">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合格碘盐</w:t>
            </w:r>
            <w:r w:rsidR="00D57061">
              <w:rPr>
                <w:rFonts w:ascii="仿宋_GB2312" w:eastAsia="仿宋_GB2312" w:hAnsi="宋体" w:cs="宋体" w:hint="eastAsia"/>
                <w:color w:val="000000"/>
                <w:kern w:val="0"/>
                <w:sz w:val="24"/>
              </w:rPr>
              <w:t>覆盖</w:t>
            </w:r>
            <w:r w:rsidRPr="00CA76EA">
              <w:rPr>
                <w:rFonts w:ascii="仿宋_GB2312" w:eastAsia="仿宋_GB2312" w:hAnsi="宋体" w:cs="宋体" w:hint="eastAsia"/>
                <w:color w:val="000000"/>
                <w:kern w:val="0"/>
                <w:sz w:val="24"/>
              </w:rPr>
              <w:t>率（%）</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食盐中碘含量符合本地区碘含量最新标准的盐样份数占检测盐样份数的百分率。</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（符合碘含量最新标准的盐样份数/检测份数）×100%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省卫生健康委重传处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碘缺乏病监测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905"/>
          <w:jc w:val="center"/>
        </w:trPr>
        <w:tc>
          <w:tcPr>
            <w:tcW w:w="313" w:type="pct"/>
            <w:vMerge w:val="restart"/>
            <w:shd w:val="clear" w:color="auto" w:fill="auto"/>
            <w:vAlign w:val="center"/>
            <w:hideMark/>
          </w:tcPr>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全民健身行动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全民健身行动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全民健身行动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Pr="00CA76EA" w:rsidRDefault="00CA76EA"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城乡居民达到《国民体质测定标准》合格等级及以上的人数百分比（%）</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我省达到《国民体质测定标准》合格等级以上的人数百分比</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某年某地调查城乡居民达到《国民体质测定标准》合格等级以上的人数/被调查总人数</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90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经常参加体育锻炼人数比例（%）</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每周参加体育锻炼频度3次及以上，每次体育锻炼持续时间30分钟及以上，每次体育锻炼的运动强度达到中等及以上的人口比例（含在校学生）。其中，中等运动强度是指在运动时心率达到最大心率的64%～76%的运动强度（最大心率等于220减去年龄）</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经常参加体育锻炼的人数比例=经常参加体育锻炼的人数（含学生）÷年末人口数（含学生）×100%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8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每千人拥有社会体育指导员（人）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社会体育指导员，是指在竞技体育、学校体育、部队体育以外的群众性体育活动中从事技能传授、锻炼指导和组织管理工作的人员。凡符合条件，履行社会体育指导员职责者，均可根据本制度的规定，申请并获得社会体育指导员技术等级称号。</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在社会体育指导员管理信息系统注册（或已取得各级体育部门颁证）的社会体育指导员人数，并根据常住人口数量计算每千人拥有的社会体育指导员人数。</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02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农村行政村体育设施覆盖率（%）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以行政村为主要对象,以经济、实用的小型公共体育健身场地设施建设为重点,推动农村体育组织建设、体育活动站(点)建设,广泛开展农村体育活动,构建农村体育服务体系的一项工程。注：行政村农民体育健身工程应具有基本的公共体育场地设施（如健身路径、篮球场等）</w:t>
            </w:r>
          </w:p>
        </w:tc>
        <w:tc>
          <w:tcPr>
            <w:tcW w:w="726" w:type="pct"/>
            <w:shd w:val="clear" w:color="auto" w:fill="auto"/>
            <w:vAlign w:val="center"/>
            <w:hideMark/>
          </w:tcPr>
          <w:p w:rsidR="006B5C8F" w:rsidRPr="00CA76EA" w:rsidRDefault="006B5C8F" w:rsidP="0053258D">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由市</w:t>
            </w:r>
            <w:r w:rsidR="0053258D">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州</w:t>
            </w:r>
            <w:r w:rsidR="0053258D">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统计以行政村为对象,建设的经济、实用的小型公共体育健身场地设施的覆盖率。包含市州行政村数量，已建设的小型公共体育健身场地设施数量。</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8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城市慢跑步行道绿道的人均长度（m/万人）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在城市中用于群众体育锻炼，能够进行快走、慢跑的步行道或绿道</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由市州提供城市慢跑步行道、绿道的总长度，并根据常住人口数量计算每万人的人均长度。</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住房城乡建设厅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7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学校体育场地设施开放率（%）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推动各级各类学校体育场地设施有序向社会免费或低收费开放</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推动各级各类学校体育场地设施有序向社区免费或低收费开放的学校数/辖区内有体育场地的学校总数×100%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05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人均体育场地面积（m2）</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辖区内人均体育场地面积</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辖区内体育场地总面积/辖区内总人口数×100%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9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城市新建居住区和社区按标准配建全民健身设施覆盖率（%）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城市新建居住区和社区配建全民健身设施的标准：室内人均建筑面积不低于0.1 m</w:t>
            </w:r>
            <w:r w:rsidRPr="00CA76EA">
              <w:rPr>
                <w:rFonts w:ascii="仿宋_GB2312" w:eastAsia="仿宋_GB2312" w:hAnsi="宋体" w:cs="宋体" w:hint="eastAsia"/>
                <w:color w:val="000000"/>
                <w:kern w:val="0"/>
                <w:sz w:val="24"/>
                <w:vertAlign w:val="superscript"/>
              </w:rPr>
              <w:t>2</w:t>
            </w:r>
            <w:r w:rsidRPr="00CA76EA">
              <w:rPr>
                <w:rFonts w:ascii="仿宋_GB2312" w:eastAsia="仿宋_GB2312" w:hAnsi="宋体" w:cs="宋体" w:hint="eastAsia"/>
                <w:color w:val="000000"/>
                <w:kern w:val="0"/>
                <w:sz w:val="24"/>
              </w:rPr>
              <w:t>或室外人均用地不低于0.3 m</w:t>
            </w:r>
            <w:r w:rsidRPr="00CA76EA">
              <w:rPr>
                <w:rFonts w:ascii="仿宋_GB2312" w:eastAsia="仿宋_GB2312" w:hAnsi="宋体" w:cs="宋体" w:hint="eastAsia"/>
                <w:color w:val="000000"/>
                <w:kern w:val="0"/>
                <w:sz w:val="24"/>
                <w:vertAlign w:val="superscript"/>
              </w:rPr>
              <w:t>2</w:t>
            </w:r>
            <w:r w:rsidRPr="00CA76EA">
              <w:rPr>
                <w:rFonts w:ascii="仿宋_GB2312" w:eastAsia="仿宋_GB2312" w:hAnsi="宋体" w:cs="宋体" w:hint="eastAsia"/>
                <w:color w:val="000000"/>
                <w:kern w:val="0"/>
                <w:sz w:val="24"/>
              </w:rPr>
              <w:t>。城市新建居住区和社区按标准配建全民健身设施的比率</w:t>
            </w:r>
          </w:p>
        </w:tc>
        <w:tc>
          <w:tcPr>
            <w:tcW w:w="726" w:type="pct"/>
            <w:shd w:val="clear" w:color="auto" w:fill="auto"/>
            <w:vAlign w:val="center"/>
            <w:hideMark/>
          </w:tcPr>
          <w:p w:rsidR="006B5C8F" w:rsidRPr="00CA76EA" w:rsidRDefault="006B5C8F" w:rsidP="001F2FB3">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城市新建居住区和社区按标准配建全民健身设施的小区数/城市新建居住</w:t>
            </w:r>
            <w:r w:rsidR="001F2FB3">
              <w:rPr>
                <w:rFonts w:ascii="仿宋_GB2312" w:eastAsia="仿宋_GB2312" w:hAnsi="宋体" w:cs="宋体" w:hint="eastAsia"/>
                <w:color w:val="000000"/>
                <w:kern w:val="0"/>
                <w:sz w:val="24"/>
              </w:rPr>
              <w:t>区</w:t>
            </w:r>
            <w:r w:rsidRPr="00CA76EA">
              <w:rPr>
                <w:rFonts w:ascii="仿宋_GB2312" w:eastAsia="仿宋_GB2312" w:hAnsi="宋体" w:cs="宋体" w:hint="eastAsia"/>
                <w:color w:val="000000"/>
                <w:kern w:val="0"/>
                <w:sz w:val="24"/>
              </w:rPr>
              <w:t>和社区总数×100%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住房城乡建设厅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93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城市社区15分钟健身圈覆盖率（%）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15分钟行程范围内有健身设施的城市社区数占城市社区总数的比例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15分钟行程范围内有健身设施的城市社区数/城市社区总数×100%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省体育局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55"/>
          <w:jc w:val="center"/>
        </w:trPr>
        <w:tc>
          <w:tcPr>
            <w:tcW w:w="313" w:type="pct"/>
            <w:vMerge w:val="restart"/>
            <w:shd w:val="clear" w:color="auto" w:fill="auto"/>
            <w:vAlign w:val="center"/>
            <w:hideMark/>
          </w:tcPr>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控烟行动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控烟行动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Pr="00CA76EA" w:rsidRDefault="00CA76EA"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16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15岁以上人群吸烟率（%）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调查时15岁及以上人群中现在吸烟者所占比例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15岁及以上现在吸烟者/15岁及以上人口数的比例*100%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全国成人烟草流行监测以及各地成人烟草流行监测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41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建设成无烟党政机关</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无烟党政机关是指至少满足以下四个基本要求的党政机关：制订无烟机关建设管理制度；室内区域全面禁止吸烟，若有室外吸烟区应当规范设置；机关范围内禁止销售烟草制品，无烟草广告；机关无烟草赞助。该指标指无烟党政机关数量占党政机关总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无烟党政机关数量/党政机关总数×100%</w:t>
            </w:r>
          </w:p>
        </w:tc>
        <w:tc>
          <w:tcPr>
            <w:tcW w:w="525" w:type="pct"/>
            <w:shd w:val="clear" w:color="auto" w:fill="auto"/>
            <w:vAlign w:val="center"/>
            <w:hideMark/>
          </w:tcPr>
          <w:p w:rsidR="006B5C8F" w:rsidRPr="00CA76EA" w:rsidRDefault="0015466B"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评估报告和相关材料查阅</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27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全面无烟法规保护的人口比例（%）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辖区内全面无烟法规保护的人口占总人口的比例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辖区内全面无烟法规保护的人口/总人口×100%</w:t>
            </w:r>
          </w:p>
        </w:tc>
        <w:tc>
          <w:tcPr>
            <w:tcW w:w="525" w:type="pct"/>
            <w:shd w:val="clear" w:color="auto" w:fill="auto"/>
            <w:vAlign w:val="center"/>
            <w:hideMark/>
          </w:tcPr>
          <w:p w:rsidR="006B5C8F" w:rsidRPr="00CA76EA" w:rsidRDefault="0015466B"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208"/>
          <w:jc w:val="center"/>
        </w:trPr>
        <w:tc>
          <w:tcPr>
            <w:tcW w:w="313" w:type="pct"/>
            <w:vMerge w:val="restart"/>
            <w:shd w:val="clear" w:color="auto" w:fill="auto"/>
            <w:vAlign w:val="center"/>
            <w:hideMark/>
          </w:tcPr>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心理健康促进行动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心理健康促进行动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心理健康促进行动</w:t>
            </w:r>
          </w:p>
          <w:p w:rsidR="00CA76EA" w:rsidRDefault="00CA76EA" w:rsidP="00402F2F">
            <w:pPr>
              <w:spacing w:line="320" w:lineRule="exact"/>
              <w:jc w:val="center"/>
              <w:rPr>
                <w:rFonts w:ascii="仿宋_GB2312" w:eastAsia="仿宋_GB2312" w:hAnsi="黑体" w:cs="宋体"/>
                <w:color w:val="000000"/>
                <w:kern w:val="0"/>
                <w:sz w:val="24"/>
              </w:rPr>
            </w:pPr>
          </w:p>
          <w:p w:rsidR="00CA76EA" w:rsidRDefault="00CA76EA" w:rsidP="00402F2F">
            <w:pPr>
              <w:spacing w:line="320" w:lineRule="exact"/>
              <w:jc w:val="center"/>
              <w:rPr>
                <w:rFonts w:ascii="仿宋_GB2312" w:eastAsia="仿宋_GB2312" w:hAnsi="黑体" w:cs="宋体"/>
                <w:color w:val="000000"/>
                <w:kern w:val="0"/>
                <w:sz w:val="24"/>
              </w:rPr>
            </w:pPr>
          </w:p>
          <w:p w:rsidR="00CA76EA" w:rsidRPr="00CA76EA" w:rsidRDefault="00CA76EA"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19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精神科执业（助理）医师（名/10万人）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每10万常住人口所拥有的精神科执业（助理）医师数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精神科执业（助理）医师总数/四川省常住人口数（万）</w:t>
            </w:r>
            <w:r w:rsidR="004E70EB" w:rsidRPr="00CA76EA">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0.1</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3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综合医院开设精神（心身医学）科比率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在二级以上综合医院开设精神（心身医学）科比率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开设了精神（心身）/心理门诊的二级综合医院数量/辖区范围内二级以上综合医院数量</w:t>
            </w:r>
            <w:r w:rsidR="004E70EB" w:rsidRPr="00CA76EA">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8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居民心理健康素养水平（%）</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指具备心理健康素养的人在监测总人群中所占的比例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具备心理健康素养的人数/监测人群总人数×100%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24"/>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建立公益心理援助热线的市（州）比例（%）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建立公益心理援助热线的市（州）占全省市（州）总数的比例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建立公益心理援助热线的市（州）数/全省市（州）总数×100%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w:t>
            </w:r>
          </w:p>
        </w:tc>
      </w:tr>
      <w:tr w:rsidR="006B5C8F" w:rsidRPr="00CA76EA" w:rsidTr="00402F2F">
        <w:trPr>
          <w:cantSplit/>
          <w:trHeight w:val="139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建立心理危机干预队伍的市（州）比例（%）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建立心理危机干预队伍的市（州）占全省市（州）总数的比例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建立心理危机干预队伍的市（州）数/全省市（州）总数×100%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w:t>
            </w:r>
          </w:p>
        </w:tc>
      </w:tr>
      <w:tr w:rsidR="006B5C8F" w:rsidRPr="00CA76EA" w:rsidTr="00402F2F">
        <w:trPr>
          <w:cantSplit/>
          <w:trHeight w:val="133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登记在册的精神分裂症治疗率（%）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登记在册的精神分裂症患者中接受治疗的人数占登记在册的精神分裂症患者总人数的比例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登记在册的精神分裂症患者中接受治疗的人数/登记在册的精神分裂症患者总人数×100%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8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登记在册的严重精神障碍患者规范管理率（%）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登记在册的精神分裂症患者中接受规范管理的人数占登记在册的精神分裂症患者总人数的比例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登记在册的精神分裂症患者中接受规范管理的人数/登记在册的精神分裂症患者总人数×100%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3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开展精神障碍社区康复服务的县（市、区）比例（%）</w:t>
            </w:r>
          </w:p>
        </w:tc>
        <w:tc>
          <w:tcPr>
            <w:tcW w:w="1109"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建立精神障碍社区康复服务的县（市、区）数占辖区内县（市、区）总数的比例</w:t>
            </w:r>
          </w:p>
        </w:tc>
        <w:tc>
          <w:tcPr>
            <w:tcW w:w="726" w:type="pct"/>
            <w:shd w:val="clear" w:color="auto" w:fill="auto"/>
            <w:vAlign w:val="center"/>
            <w:hideMark/>
          </w:tcPr>
          <w:p w:rsidR="006B5C8F" w:rsidRPr="00CA76EA" w:rsidRDefault="006B5C8F" w:rsidP="00402F2F">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建立精神障碍社区康复服务的县（市、区）数/辖区内县（市、区）总数×100%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民政厅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50B75">
        <w:trPr>
          <w:cantSplit/>
          <w:trHeight w:val="1583"/>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在开展精神障碍社区康复的县（市、区），居家患者接受社区康复服务的比例（%）</w:t>
            </w:r>
          </w:p>
        </w:tc>
        <w:tc>
          <w:tcPr>
            <w:tcW w:w="1109" w:type="pct"/>
            <w:shd w:val="clear" w:color="auto" w:fill="auto"/>
            <w:vAlign w:val="center"/>
            <w:hideMark/>
          </w:tcPr>
          <w:p w:rsidR="006B5C8F" w:rsidRPr="00CA76EA" w:rsidRDefault="006B5C8F"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在开展精神障碍社区康复的县（市、区），居家患者接受社区康复服务的人数占居家患者总人数的比例</w:t>
            </w:r>
          </w:p>
        </w:tc>
        <w:tc>
          <w:tcPr>
            <w:tcW w:w="726" w:type="pct"/>
            <w:shd w:val="clear" w:color="auto" w:fill="auto"/>
            <w:vAlign w:val="center"/>
            <w:hideMark/>
          </w:tcPr>
          <w:p w:rsidR="006B5C8F" w:rsidRPr="00CA76EA" w:rsidRDefault="006B5C8F"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在开展精神障碍社区康复的县（市、区），居家患者接受社区康复服务的人数/居家患者总人数×100%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民政厅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1209"/>
          <w:jc w:val="center"/>
        </w:trPr>
        <w:tc>
          <w:tcPr>
            <w:tcW w:w="313" w:type="pct"/>
            <w:vMerge w:val="restart"/>
            <w:shd w:val="clear" w:color="auto" w:fill="auto"/>
            <w:vAlign w:val="center"/>
            <w:hideMark/>
          </w:tcPr>
          <w:p w:rsidR="00450B75" w:rsidRPr="00CA76EA" w:rsidRDefault="00450B75" w:rsidP="00450B75">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健康环境促进行动</w:t>
            </w: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28</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居民饮用水水质达标情况</w:t>
            </w:r>
          </w:p>
        </w:tc>
        <w:tc>
          <w:tcPr>
            <w:tcW w:w="1109"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根据传染病防治法，末梢水应符合国家卫生健康委制定的生活饮用水卫生标准，包括出厂水和末梢水水质达标状况</w:t>
            </w:r>
          </w:p>
        </w:tc>
        <w:tc>
          <w:tcPr>
            <w:tcW w:w="726"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合格水样数/监测水样数×100%（以年度工作总结统计口径为准）</w:t>
            </w:r>
          </w:p>
        </w:tc>
        <w:tc>
          <w:tcPr>
            <w:tcW w:w="525" w:type="pct"/>
            <w:shd w:val="clear" w:color="auto" w:fill="auto"/>
            <w:vAlign w:val="center"/>
            <w:hideMark/>
          </w:tcPr>
          <w:p w:rsidR="00450B75" w:rsidRPr="00CA76EA" w:rsidRDefault="00450B75" w:rsidP="00402F2F">
            <w:pPr>
              <w:spacing w:line="29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住房城乡建设厅、省卫生健康委</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1183"/>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29</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卫生城市(县城/乡镇)覆盖率（%）</w:t>
            </w:r>
          </w:p>
        </w:tc>
        <w:tc>
          <w:tcPr>
            <w:tcW w:w="1109"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卫生城市（县城/乡镇）占辖区内全部城市（县城/乡镇）的比例</w:t>
            </w:r>
          </w:p>
        </w:tc>
        <w:tc>
          <w:tcPr>
            <w:tcW w:w="726"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卫生城市（县城/乡镇）数/辖区内全部城市（县城/乡镇）数×100%</w:t>
            </w:r>
          </w:p>
        </w:tc>
        <w:tc>
          <w:tcPr>
            <w:tcW w:w="525" w:type="pct"/>
            <w:shd w:val="clear" w:color="auto" w:fill="auto"/>
            <w:vAlign w:val="center"/>
            <w:hideMark/>
          </w:tcPr>
          <w:p w:rsidR="00450B75" w:rsidRPr="00CA76EA" w:rsidRDefault="00450B75" w:rsidP="00402F2F">
            <w:pPr>
              <w:spacing w:line="29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省爱卫办</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1905"/>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30</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农村自来水普及率（%）</w:t>
            </w:r>
          </w:p>
        </w:tc>
        <w:tc>
          <w:tcPr>
            <w:tcW w:w="1109"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农村集中式供水工程和城市供水管网延伸工程供水到户（含小区或院子）的农村人口占农村供水总人口的比例</w:t>
            </w:r>
          </w:p>
        </w:tc>
        <w:tc>
          <w:tcPr>
            <w:tcW w:w="726"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农村集中式供水工程与城市供水管网延伸工程供水到户（含小区或院子）的农村人口之和/农村供水总人口×100%</w:t>
            </w:r>
          </w:p>
        </w:tc>
        <w:tc>
          <w:tcPr>
            <w:tcW w:w="525" w:type="pct"/>
            <w:shd w:val="clear" w:color="auto" w:fill="auto"/>
            <w:vAlign w:val="center"/>
            <w:hideMark/>
          </w:tcPr>
          <w:p w:rsidR="00450B75" w:rsidRPr="00CA76EA" w:rsidRDefault="00450B75" w:rsidP="00402F2F">
            <w:pPr>
              <w:spacing w:line="29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水利厅</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50B75">
        <w:trPr>
          <w:cantSplit/>
          <w:trHeight w:val="3930"/>
          <w:jc w:val="center"/>
        </w:trPr>
        <w:tc>
          <w:tcPr>
            <w:tcW w:w="313" w:type="pct"/>
            <w:shd w:val="clear" w:color="auto" w:fill="auto"/>
            <w:vAlign w:val="center"/>
            <w:hideMark/>
          </w:tcPr>
          <w:p w:rsidR="006B5C8F" w:rsidRPr="00CA76EA" w:rsidRDefault="00450B75" w:rsidP="00450B75">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健康环境促进行动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农村卫生厕所普及率（%）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使用卫生厕所农户数占当地农村应改厕基数的百分比</w:t>
            </w:r>
          </w:p>
        </w:tc>
        <w:tc>
          <w:tcPr>
            <w:tcW w:w="726" w:type="pct"/>
            <w:shd w:val="clear" w:color="auto" w:fill="auto"/>
            <w:vAlign w:val="center"/>
            <w:hideMark/>
          </w:tcPr>
          <w:p w:rsidR="006B5C8F" w:rsidRPr="00CA76EA" w:rsidRDefault="006B5C8F"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卫生厕所普及率（%）=使用卫生厕所农户数/当地农村应改厕基数。农村“厕所革命”是以户为单位实施改厕，农业农村部农村人居环境信息系统对农村应改厕基数指标解释进行了规范要求，即：当地农村应改厕基数=农村户籍（含农业户口和非农户口）户数（户） - 三年内有搬迁计划的农户以及空挂户数量（户）- 长年无人居住且书面征求意见不愿改厕的农户数（户） + 长期居住（有固定住宅、非租住）且已纳入改厕计划的非本地农村户籍的户数（户）。</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农业农村厅</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1395"/>
          <w:jc w:val="center"/>
        </w:trPr>
        <w:tc>
          <w:tcPr>
            <w:tcW w:w="313" w:type="pct"/>
            <w:vMerge w:val="restart"/>
            <w:shd w:val="clear" w:color="auto" w:fill="auto"/>
            <w:vAlign w:val="center"/>
            <w:hideMark/>
          </w:tcPr>
          <w:p w:rsidR="00450B75" w:rsidRPr="00CA76EA" w:rsidRDefault="00450B75" w:rsidP="00450B75">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健康环境促进行动</w:t>
            </w: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32</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地级及以上城市空气质量优良天数比率（%）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337个地级及以上城市环境空气污染指数达到或优于国家质量二级标准的天数占总天数的比例</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337个地级及以上城市环境空气污染指数达到或优于国家质量二级标准的天数占总天数的比例</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生态环境厅</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中国生态环境状况公报</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3016"/>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33</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道路交通事故万车死亡率（%）</w:t>
            </w:r>
          </w:p>
        </w:tc>
        <w:tc>
          <w:tcPr>
            <w:tcW w:w="1109"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指在一定空间和时间范围内按机动车保有量所平均的交通事故死亡人数的相对指标</w:t>
            </w:r>
          </w:p>
        </w:tc>
        <w:tc>
          <w:tcPr>
            <w:tcW w:w="726"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1951-2018年万车死亡率测算方法：RN=D/N</w:t>
            </w:r>
            <w:r w:rsidR="00FE42C9" w:rsidRPr="00CA76EA">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104 其中：RN表示万车死亡率，D表示交通事故死亡人数，N表示机动车保有量；2020、2025、2030目标值根据指数回归模型估算。</w:t>
            </w:r>
          </w:p>
        </w:tc>
        <w:tc>
          <w:tcPr>
            <w:tcW w:w="525"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公安厅</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全国交通管理综合运用平台</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50B75">
        <w:trPr>
          <w:cantSplit/>
          <w:trHeight w:val="890"/>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34</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居民环境与健康素养水平（%）</w:t>
            </w:r>
          </w:p>
        </w:tc>
        <w:tc>
          <w:tcPr>
            <w:tcW w:w="1109"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指具备环境与健康素养的人在监测总人群中所占的比例</w:t>
            </w:r>
          </w:p>
        </w:tc>
        <w:tc>
          <w:tcPr>
            <w:tcW w:w="726"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具备环境与健康素养的人数/监测人群总人数×100%</w:t>
            </w:r>
          </w:p>
        </w:tc>
        <w:tc>
          <w:tcPr>
            <w:tcW w:w="525" w:type="pct"/>
            <w:shd w:val="clear" w:color="auto" w:fill="auto"/>
            <w:vAlign w:val="center"/>
            <w:hideMark/>
          </w:tcPr>
          <w:p w:rsidR="00450B75" w:rsidRPr="00CA76EA" w:rsidRDefault="00450B75" w:rsidP="00402F2F">
            <w:pPr>
              <w:spacing w:line="28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生态环境厅</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02F2F" w:rsidRPr="00CA76EA" w:rsidTr="00450B75">
        <w:trPr>
          <w:cantSplit/>
          <w:trHeight w:val="1510"/>
          <w:jc w:val="center"/>
        </w:trPr>
        <w:tc>
          <w:tcPr>
            <w:tcW w:w="313" w:type="pct"/>
            <w:shd w:val="clear" w:color="auto" w:fill="auto"/>
            <w:vAlign w:val="center"/>
            <w:hideMark/>
          </w:tcPr>
          <w:p w:rsidR="00402F2F" w:rsidRPr="00CA76EA" w:rsidRDefault="00402F2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妇幼健康促进行动</w:t>
            </w:r>
          </w:p>
        </w:tc>
        <w:tc>
          <w:tcPr>
            <w:tcW w:w="288" w:type="pct"/>
            <w:shd w:val="clear" w:color="auto" w:fill="auto"/>
            <w:vAlign w:val="center"/>
            <w:hideMark/>
          </w:tcPr>
          <w:p w:rsidR="00402F2F" w:rsidRPr="00CA76EA" w:rsidRDefault="00402F2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35</w:t>
            </w:r>
          </w:p>
        </w:tc>
        <w:tc>
          <w:tcPr>
            <w:tcW w:w="255" w:type="pct"/>
            <w:shd w:val="clear" w:color="auto" w:fill="auto"/>
            <w:vAlign w:val="center"/>
            <w:hideMark/>
          </w:tcPr>
          <w:p w:rsidR="00402F2F" w:rsidRPr="00CA76EA" w:rsidRDefault="00402F2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02F2F" w:rsidRPr="00CA76EA" w:rsidRDefault="00402F2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婴儿死亡率（‰）</w:t>
            </w:r>
          </w:p>
        </w:tc>
        <w:tc>
          <w:tcPr>
            <w:tcW w:w="1109" w:type="pct"/>
            <w:shd w:val="clear" w:color="auto" w:fill="auto"/>
            <w:vAlign w:val="center"/>
            <w:hideMark/>
          </w:tcPr>
          <w:p w:rsidR="00402F2F" w:rsidRPr="00CA76EA" w:rsidRDefault="00402F2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某地区婴儿死亡数占活产数的比例</w:t>
            </w:r>
          </w:p>
        </w:tc>
        <w:tc>
          <w:tcPr>
            <w:tcW w:w="726" w:type="pct"/>
            <w:shd w:val="clear" w:color="auto" w:fill="auto"/>
            <w:vAlign w:val="center"/>
            <w:hideMark/>
          </w:tcPr>
          <w:p w:rsidR="00402F2F" w:rsidRPr="00CA76EA" w:rsidRDefault="00402F2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某地区婴儿死亡数/某地区活产数×1000</w:t>
            </w:r>
          </w:p>
        </w:tc>
        <w:tc>
          <w:tcPr>
            <w:tcW w:w="525" w:type="pct"/>
            <w:shd w:val="clear" w:color="auto" w:fill="auto"/>
            <w:vAlign w:val="center"/>
            <w:hideMark/>
          </w:tcPr>
          <w:p w:rsidR="00402F2F" w:rsidRPr="00CA76EA" w:rsidRDefault="00402F2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02F2F" w:rsidRPr="00CA76EA" w:rsidRDefault="00402F2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02F2F" w:rsidRPr="00CA76EA" w:rsidRDefault="00402F2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02F2F" w:rsidRPr="00CA76EA" w:rsidRDefault="00402F2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897"/>
          <w:jc w:val="center"/>
        </w:trPr>
        <w:tc>
          <w:tcPr>
            <w:tcW w:w="313" w:type="pct"/>
            <w:vMerge w:val="restart"/>
            <w:shd w:val="clear" w:color="auto" w:fill="auto"/>
            <w:vAlign w:val="center"/>
            <w:hideMark/>
          </w:tcPr>
          <w:p w:rsidR="00450B75" w:rsidRPr="00CA76EA" w:rsidRDefault="00450B75"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妇幼健康促进行动</w:t>
            </w: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36</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5岁以下儿童死亡率（‰）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某地区5岁以下儿童死亡数占活产数的比例</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某地区5岁以下儿童死亡数/某地区活产数×1000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760"/>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37</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孕产妇死亡率（1/10万）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某地区孕产妇死亡数占活产数的比例</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某地区孕产妇死亡数/某地区活产数×100000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1830"/>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38</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新生儿遗传代谢性疾病筛查率（%）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指某地区统计年度内，接受苯丙酮尿症和先天性甲状腺功能减低症筛查的新生儿数占活产数的百分比。一人筛查多次按一人上报</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某地区统计年度内，接受苯丙酮尿症和先天性甲状腺功能减低症筛查的新生儿数/活产数×100%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新生儿遗传代谢病筛查年度报告</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915"/>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39</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新生儿听力筛查率（%）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该年该地区接受新生儿听力筛查人数与该年该地区活产数之比。</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该年该地区接受新生儿听力筛查人数/该年该地区活产数×100%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915"/>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40</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农村适龄妇女宫颈癌筛查覆盖率（%）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该地区统计年度内开展农村妇女“宫颈癌”检查县数占该地区总县数。</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该地区统计年度开展农村妇女“宫颈癌”检查县数/该地区总县数×100%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915"/>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41</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农村适龄妇女乳腺癌筛查覆盖率（%）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该地区统计年度内开展农村妇女“乳腺癌”检查县数占该地区总县数。</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该地区统计年度开展农村妇女“乳腺癌”检查县数/该地区总县数×100%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915"/>
          <w:jc w:val="center"/>
        </w:trPr>
        <w:tc>
          <w:tcPr>
            <w:tcW w:w="313" w:type="pct"/>
            <w:vMerge w:val="restart"/>
            <w:shd w:val="clear" w:color="auto" w:fill="auto"/>
            <w:vAlign w:val="center"/>
            <w:hideMark/>
          </w:tcPr>
          <w:p w:rsidR="00450B75" w:rsidRPr="00CA76EA" w:rsidRDefault="00450B75" w:rsidP="00450B75">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妇幼健康促进行动</w:t>
            </w: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42</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产前筛查率（%）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该年该地区孕产妇产前筛查人数占某年某地区产妇数的百分比</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该年该地区孕产妇产前筛查人数/某年某地区产妇数</w:t>
            </w:r>
            <w:r w:rsidR="004E2AC8" w:rsidRPr="00CA76EA">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妇幼卫生年报</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2670"/>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43</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孕产妇系统管理率（%）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产妇系统管理人数：指该地区该统计年度内按系统管理程序要求，从妊娠至出院后7天内有过孕早期产前检查、至少5次产前检查且需满足孕周间隔、住院分娩和产后访视的产妇人数。（原定义为从妊娠至产后28天内有过孕早期产前检查、至少5次产前检查、住院分娩和产后访视的产妇人数）</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当地产妇系统管理人数/当地活产数×100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妇幼卫生年报</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450B75" w:rsidRPr="00CA76EA" w:rsidTr="00402F2F">
        <w:trPr>
          <w:cantSplit/>
          <w:trHeight w:val="2370"/>
          <w:jc w:val="center"/>
        </w:trPr>
        <w:tc>
          <w:tcPr>
            <w:tcW w:w="313" w:type="pct"/>
            <w:vMerge/>
            <w:shd w:val="clear" w:color="auto" w:fill="auto"/>
            <w:vAlign w:val="center"/>
            <w:hideMark/>
          </w:tcPr>
          <w:p w:rsidR="00450B75" w:rsidRPr="00CA76EA" w:rsidRDefault="00450B75"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44</w:t>
            </w:r>
          </w:p>
        </w:tc>
        <w:tc>
          <w:tcPr>
            <w:tcW w:w="255"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7岁以下儿童健康管理率（%）</w:t>
            </w:r>
          </w:p>
        </w:tc>
        <w:tc>
          <w:tcPr>
            <w:tcW w:w="1109"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年内辖区内7岁以下儿童健康管理人数与年内辖区内7岁以下儿童数之比，一般以%表示。7岁以下儿童健康管理人数指年内辖区内7岁以下儿童接受1次及以上体格检查（身高和体重等）的总人数。一个儿童当年如接受了多次查体，也只按1人计算</w:t>
            </w:r>
          </w:p>
        </w:tc>
        <w:tc>
          <w:tcPr>
            <w:tcW w:w="726"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年内辖区内7岁以下儿童接受1次及以上体格检查（身高和体重等）的总人数/年内辖区内7岁以下儿童数×100%</w:t>
            </w:r>
          </w:p>
        </w:tc>
        <w:tc>
          <w:tcPr>
            <w:tcW w:w="525"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450B75" w:rsidRPr="00CA76EA" w:rsidRDefault="00450B75"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妇幼卫生年报</w:t>
            </w:r>
          </w:p>
        </w:tc>
        <w:tc>
          <w:tcPr>
            <w:tcW w:w="413"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450B75" w:rsidRPr="00CA76EA" w:rsidRDefault="00450B75"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50B75">
        <w:trPr>
          <w:cantSplit/>
          <w:trHeight w:val="1675"/>
          <w:jc w:val="center"/>
        </w:trPr>
        <w:tc>
          <w:tcPr>
            <w:tcW w:w="313" w:type="pct"/>
            <w:shd w:val="clear" w:color="auto" w:fill="auto"/>
            <w:vAlign w:val="center"/>
            <w:hideMark/>
          </w:tcPr>
          <w:p w:rsidR="006B5C8F" w:rsidRPr="00CA76EA" w:rsidRDefault="00450B75" w:rsidP="00450B75">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妇幼健康促进行动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0-6岁儿童每年眼保健和视力检查覆盖率（%）</w:t>
            </w:r>
          </w:p>
        </w:tc>
        <w:tc>
          <w:tcPr>
            <w:tcW w:w="1109"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指统计期限内辖区内0-6岁儿童眼保健和视力检查工作覆盖的人数占0-6岁儿童总人数的比例</w:t>
            </w:r>
          </w:p>
        </w:tc>
        <w:tc>
          <w:tcPr>
            <w:tcW w:w="726"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统计期限内辖区内0-6岁儿童眼保健和视力检查人数/统计期限内辖区内0-6岁儿童数×100%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省卫生健康委妇幼处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450B75">
        <w:trPr>
          <w:cantSplit/>
          <w:trHeight w:val="1429"/>
          <w:jc w:val="center"/>
        </w:trPr>
        <w:tc>
          <w:tcPr>
            <w:tcW w:w="313" w:type="pct"/>
            <w:vMerge w:val="restart"/>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学校健康促进行动</w:t>
            </w: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46</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国家学生体质健康标准达标优良率（%）</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《国家学生体质健康标准》是测量学生体质健康状况和锻炼效果的评价标准，该指标指达到优良标准的学生数占参加评定学生总人数的比例</w:t>
            </w:r>
          </w:p>
        </w:tc>
        <w:tc>
          <w:tcPr>
            <w:tcW w:w="726"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学年体质综合评定总分80分及以上学生数/参加评定学生总人数×100%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854"/>
          <w:jc w:val="center"/>
        </w:trPr>
        <w:tc>
          <w:tcPr>
            <w:tcW w:w="313" w:type="pct"/>
            <w:vMerge/>
            <w:shd w:val="clear" w:color="auto" w:fill="auto"/>
            <w:vAlign w:val="center"/>
            <w:hideMark/>
          </w:tcPr>
          <w:p w:rsidR="005C33D0" w:rsidRPr="00CA76EA" w:rsidRDefault="005C33D0"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47</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儿童青少年总体近视率（%）</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反映青少年学生近视状况的指标，近视的儿童青少年占调查总数的比例</w:t>
            </w:r>
          </w:p>
        </w:tc>
        <w:tc>
          <w:tcPr>
            <w:tcW w:w="726"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近视率=（根据标准判定为近视的人数+角膜塑形镜佩戴者人数）/调查人数×100%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1199"/>
          <w:jc w:val="center"/>
        </w:trPr>
        <w:tc>
          <w:tcPr>
            <w:tcW w:w="313" w:type="pct"/>
            <w:vMerge/>
            <w:shd w:val="clear" w:color="auto" w:fill="auto"/>
            <w:vAlign w:val="center"/>
            <w:hideMark/>
          </w:tcPr>
          <w:p w:rsidR="005C33D0" w:rsidRPr="00CA76EA" w:rsidRDefault="005C33D0"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48</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符合要求的中小学体育与健康课程开课率（%）</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引导学校按照国家要求开齐开足体育课程的指标，促进中小学生身体健康成长，符合要求的开课学校数占调查总数的比例。</w:t>
            </w:r>
          </w:p>
        </w:tc>
        <w:tc>
          <w:tcPr>
            <w:tcW w:w="726"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符合要求的开办了体育与健康课程的中小学数量/当地中小学总数×100%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897"/>
          <w:jc w:val="center"/>
        </w:trPr>
        <w:tc>
          <w:tcPr>
            <w:tcW w:w="313" w:type="pct"/>
            <w:vMerge/>
            <w:shd w:val="clear" w:color="auto" w:fill="auto"/>
            <w:vAlign w:val="center"/>
            <w:hideMark/>
          </w:tcPr>
          <w:p w:rsidR="005C33D0" w:rsidRPr="00CA76EA" w:rsidRDefault="005C33D0"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49</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中小学生每天校内体育活动时间（小时）</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培养学生养成体育锻炼习惯，促进学生掌握运动技能，提高体质健康水平的指标。当地中小学生每天在校内体育活动的时间</w:t>
            </w:r>
          </w:p>
        </w:tc>
        <w:tc>
          <w:tcPr>
            <w:tcW w:w="726"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通过问卷调查，了解当地中小学生每天在校内体育活动的平均时间</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4160"/>
          <w:jc w:val="center"/>
        </w:trPr>
        <w:tc>
          <w:tcPr>
            <w:tcW w:w="313" w:type="pct"/>
            <w:vMerge w:val="restart"/>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学校健康促进行动</w:t>
            </w: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50</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寄宿制中小学校或600名学生以上的非寄宿制中小学校配备专职卫生专业技术人员、600名学生以下的非寄宿制中小学校配备专兼职保健教师或卫生专业技术人员的比例（%）</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配备专职（兼职）卫生专业技术人员的中小学数占当地中小学数量的比例</w:t>
            </w:r>
          </w:p>
        </w:tc>
        <w:tc>
          <w:tcPr>
            <w:tcW w:w="726"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配备专职（兼职）卫生专业技术人员的中小学数/当地中小学数量×100%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1574"/>
          <w:jc w:val="center"/>
        </w:trPr>
        <w:tc>
          <w:tcPr>
            <w:tcW w:w="313" w:type="pct"/>
            <w:vMerge/>
            <w:shd w:val="clear" w:color="auto" w:fill="auto"/>
            <w:vAlign w:val="center"/>
            <w:hideMark/>
          </w:tcPr>
          <w:p w:rsidR="005C33D0" w:rsidRPr="00CA76EA" w:rsidRDefault="005C33D0"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51</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配备专兼职心理健康工作人员的中小学校比例（%）</w:t>
            </w:r>
          </w:p>
        </w:tc>
        <w:tc>
          <w:tcPr>
            <w:tcW w:w="1109"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加强学生心理健康教育的指标，配备专兼职心理健康工作人员的中小学校占当地中小学数量的比例</w:t>
            </w:r>
          </w:p>
        </w:tc>
        <w:tc>
          <w:tcPr>
            <w:tcW w:w="726"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配备专兼职心理健康工作人员的中小学校数/当地中小学数量×100%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教育厅</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1674"/>
          <w:jc w:val="center"/>
        </w:trPr>
        <w:tc>
          <w:tcPr>
            <w:tcW w:w="313" w:type="pct"/>
            <w:shd w:val="clear" w:color="auto" w:fill="auto"/>
            <w:vAlign w:val="center"/>
            <w:hideMark/>
          </w:tcPr>
          <w:p w:rsidR="006B5C8F" w:rsidRPr="00CA76EA" w:rsidRDefault="00015BCA"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职业健康保护行动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工伤保险参保人数（万人）</w:t>
            </w:r>
          </w:p>
        </w:tc>
        <w:tc>
          <w:tcPr>
            <w:tcW w:w="1109"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截止年末辖区内参加工伤保险人数</w:t>
            </w:r>
          </w:p>
        </w:tc>
        <w:tc>
          <w:tcPr>
            <w:tcW w:w="726"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截止年末辖区内参加工伤保险人数</w:t>
            </w:r>
          </w:p>
        </w:tc>
        <w:tc>
          <w:tcPr>
            <w:tcW w:w="525"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人力资源社会保障厅</w:t>
            </w:r>
          </w:p>
        </w:tc>
        <w:tc>
          <w:tcPr>
            <w:tcW w:w="491" w:type="pct"/>
            <w:shd w:val="clear" w:color="auto" w:fill="auto"/>
            <w:vAlign w:val="center"/>
            <w:hideMark/>
          </w:tcPr>
          <w:p w:rsidR="006B5C8F" w:rsidRPr="00CA76EA" w:rsidRDefault="006B5C8F"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四川省人力资源和社会保障事业发展统计公报</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3854"/>
          <w:jc w:val="center"/>
        </w:trPr>
        <w:tc>
          <w:tcPr>
            <w:tcW w:w="313" w:type="pct"/>
            <w:vMerge w:val="restart"/>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职业健康保护行动</w:t>
            </w:r>
          </w:p>
        </w:tc>
        <w:tc>
          <w:tcPr>
            <w:tcW w:w="288" w:type="pct"/>
            <w:shd w:val="clear" w:color="auto" w:fill="auto"/>
            <w:vAlign w:val="center"/>
            <w:hideMark/>
          </w:tcPr>
          <w:p w:rsidR="005C33D0" w:rsidRPr="00CA76EA" w:rsidRDefault="005C33D0" w:rsidP="005C33D0">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53</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接尘工龄不足5年的劳动者新发尘肺病报告例数占年度报告总例数比例（%）</w:t>
            </w:r>
          </w:p>
        </w:tc>
        <w:tc>
          <w:tcPr>
            <w:tcW w:w="1109"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监</w:t>
            </w:r>
            <w:r w:rsidRPr="00450B75">
              <w:rPr>
                <w:rFonts w:ascii="仿宋_GB2312" w:eastAsia="仿宋_GB2312" w:hAnsi="宋体" w:cs="宋体" w:hint="eastAsia"/>
                <w:color w:val="000000"/>
                <w:spacing w:val="-4"/>
                <w:kern w:val="0"/>
                <w:sz w:val="24"/>
              </w:rPr>
              <w:t>测接尘工龄不足5年的劳动者新发尘肺病报告例数的发展趋势。以5年为一周期进行统计，如：2016-2020年接尘工龄不足5年的劳动者新发尘肺病报告例数占2016-2020年新发尘肺病报告总例数比例，与2011-2015年接尘工龄不足5年的劳动者新发尘肺病报告例数占2011-2015年报告总例数比例进行对比，提高数据分析的代表性</w:t>
            </w:r>
          </w:p>
        </w:tc>
        <w:tc>
          <w:tcPr>
            <w:tcW w:w="726"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以5年为一周期进行统计，如：2016-2020年接尘工龄不足5年的劳动者新发尘肺病报告例数/2016-2020年新发尘肺病报告总例数×100%</w:t>
            </w:r>
          </w:p>
        </w:tc>
        <w:tc>
          <w:tcPr>
            <w:tcW w:w="525"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省卫生健康委职业健康处</w:t>
            </w:r>
          </w:p>
        </w:tc>
        <w:tc>
          <w:tcPr>
            <w:tcW w:w="491" w:type="pct"/>
            <w:shd w:val="clear" w:color="auto" w:fill="auto"/>
            <w:vAlign w:val="center"/>
            <w:hideMark/>
          </w:tcPr>
          <w:p w:rsidR="005C33D0" w:rsidRPr="00CA76EA" w:rsidRDefault="005C33D0" w:rsidP="00450B75">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职业病与健康危害因素信息监测系统</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3768"/>
          <w:jc w:val="center"/>
        </w:trPr>
        <w:tc>
          <w:tcPr>
            <w:tcW w:w="313" w:type="pct"/>
            <w:vMerge/>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5C33D0">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54</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职业病诊断服务覆盖率（%）</w:t>
            </w:r>
          </w:p>
        </w:tc>
        <w:tc>
          <w:tcPr>
            <w:tcW w:w="1109"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设区的市至少有1家医疗卫生机构承担本辖区内职业病诊断工作</w:t>
            </w:r>
          </w:p>
        </w:tc>
        <w:tc>
          <w:tcPr>
            <w:tcW w:w="726" w:type="pct"/>
            <w:shd w:val="clear" w:color="auto" w:fill="auto"/>
            <w:vAlign w:val="center"/>
            <w:hideMark/>
          </w:tcPr>
          <w:p w:rsidR="005C33D0" w:rsidRPr="00CA76EA" w:rsidRDefault="005C33D0" w:rsidP="00AA5C1C">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职业病诊断服务覆盖率=本年度辖区内至少有1家医疗卫生机构承担职业病诊断的设区的市的数量/本年度辖区内设区的市的数量×100%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省卫生健康委职业健康处</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职业病与健康危害因素信息监测系统</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7725"/>
          <w:jc w:val="center"/>
        </w:trPr>
        <w:tc>
          <w:tcPr>
            <w:tcW w:w="313" w:type="pct"/>
            <w:shd w:val="clear" w:color="auto" w:fill="auto"/>
            <w:vAlign w:val="center"/>
            <w:hideMark/>
          </w:tcPr>
          <w:p w:rsidR="006B5C8F" w:rsidRPr="00CA76EA"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职业健康保护行动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职业健康检查覆盖率（%）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县级行政区域（三州除外）原则上至少有1家医疗卫生机构承担本辖区职业健康检查工作</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健康检查服务覆盖率=本年度辖区内“至少有1家医疗卫生机构承担职业健康检查”的县区数/本年度辖区内原则上应当“至少有1家医疗卫生机构承担职业健康检查”的县区数×100%（注：全省非民族地区县（市、区）共135个，三州按分片设点每州指定4个区县（共12个），全省共147个县（市、区）达到设立职业健康检查机构要求就实现全覆盖。）</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省卫生健康委职业健康处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职业病与健康危害因素信息监测系统</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1830"/>
          <w:jc w:val="center"/>
        </w:trPr>
        <w:tc>
          <w:tcPr>
            <w:tcW w:w="313" w:type="pct"/>
            <w:vMerge w:val="restart"/>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职业健康保护行动</w:t>
            </w: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56</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开展重点职业病监测工作的县覆盖率（%）</w:t>
            </w:r>
          </w:p>
        </w:tc>
        <w:tc>
          <w:tcPr>
            <w:tcW w:w="1109"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开展重点职业病监测工作的县占辖区内县数的比例</w:t>
            </w:r>
          </w:p>
        </w:tc>
        <w:tc>
          <w:tcPr>
            <w:tcW w:w="726"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开展重点职业病监测工作的县/辖区内县数×100%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省卫生健康委职业健康处</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5C33D0" w:rsidRPr="00CA76EA" w:rsidTr="005C33D0">
        <w:trPr>
          <w:cantSplit/>
          <w:trHeight w:val="1755"/>
          <w:jc w:val="center"/>
        </w:trPr>
        <w:tc>
          <w:tcPr>
            <w:tcW w:w="313" w:type="pct"/>
            <w:vMerge/>
            <w:shd w:val="clear" w:color="auto" w:fill="auto"/>
            <w:vAlign w:val="center"/>
            <w:hideMark/>
          </w:tcPr>
          <w:p w:rsidR="005C33D0" w:rsidRPr="00CA76EA" w:rsidRDefault="005C33D0" w:rsidP="005C33D0">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57</w:t>
            </w:r>
          </w:p>
        </w:tc>
        <w:tc>
          <w:tcPr>
            <w:tcW w:w="255"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职业病诊断机构按规定报告职业病的报告率（%）</w:t>
            </w:r>
          </w:p>
        </w:tc>
        <w:tc>
          <w:tcPr>
            <w:tcW w:w="1109"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职业病诊断机构按规定报告职业病的机构数占辖区内职业病诊断机构总数的比例</w:t>
            </w:r>
          </w:p>
        </w:tc>
        <w:tc>
          <w:tcPr>
            <w:tcW w:w="726"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职业病诊断机构按规定报告职业病的机构数/辖区内职业病诊断机构总数×100%</w:t>
            </w:r>
          </w:p>
        </w:tc>
        <w:tc>
          <w:tcPr>
            <w:tcW w:w="525"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省卫生健康委职业健康处</w:t>
            </w:r>
          </w:p>
        </w:tc>
        <w:tc>
          <w:tcPr>
            <w:tcW w:w="491" w:type="pct"/>
            <w:shd w:val="clear" w:color="auto" w:fill="auto"/>
            <w:vAlign w:val="center"/>
            <w:hideMark/>
          </w:tcPr>
          <w:p w:rsidR="005C33D0" w:rsidRPr="00CA76EA" w:rsidRDefault="005C33D0"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5C33D0" w:rsidRPr="00CA76EA" w:rsidRDefault="005C33D0"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965"/>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老年健康促进行动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老年健康促进行动</w:t>
            </w: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58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二级以上综合性医院设老年医学科比例（%）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设置老年医学科的二级以上综合性医院比例，综合性医院包括综合医院、中医综合医院、中西医结合医院和民族医医院 </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设置老年医学科的二级以上综合性医院数/二级以上综合性医院数×100%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省卫生健康委老龄处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卫生资源年报</w:t>
            </w:r>
          </w:p>
        </w:tc>
        <w:tc>
          <w:tcPr>
            <w:tcW w:w="413"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2036"/>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65</w:t>
            </w:r>
            <w:r w:rsidR="0085172D">
              <w:rPr>
                <w:rFonts w:ascii="仿宋_GB2312" w:eastAsia="仿宋_GB2312" w:hAnsi="宋体" w:cs="宋体" w:hint="eastAsia"/>
                <w:color w:val="000000"/>
                <w:kern w:val="0"/>
                <w:sz w:val="24"/>
              </w:rPr>
              <w:t>岁以上老年人规范化健康管理</w:t>
            </w:r>
            <w:r w:rsidRPr="00CA76EA">
              <w:rPr>
                <w:rFonts w:ascii="仿宋_GB2312" w:eastAsia="仿宋_GB2312" w:hAnsi="宋体" w:cs="宋体" w:hint="eastAsia"/>
                <w:color w:val="000000"/>
                <w:kern w:val="0"/>
                <w:sz w:val="24"/>
              </w:rPr>
              <w:t>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指某年度辖区内65岁及以上常住居民接受规范化健康管理的比例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年内辖区内65 岁及以上常住居民接受规范化健康管理人数/年内辖区内65岁及以上常住居民人数×100％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省卫生健康委老龄处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基本公卫报表数据</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6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医养结合机构数量</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辖区内医养结合机构（指同时具备医疗卫生资质和养老服务能力的医疗卫生机构或养老机构）数量</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统计辖区内医养结合机构（指同时具备医疗卫生资质和养老服务能力的医疗卫生机构或养老机构）数量</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省卫生健康委老龄处</w:t>
            </w:r>
          </w:p>
        </w:tc>
        <w:tc>
          <w:tcPr>
            <w:tcW w:w="491"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全国医养结合管理信息系统</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10"/>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心脑血管疾病防治行动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心脑血管疾病防治行动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61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心脑血管疾病死亡率（1/10万）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因心脑血管疾病死亡的人数占总人数的比例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因心脑血管疾病死亡的人数/总人数×10万</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死因监测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38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30～70岁人群因心脑血管疾病、癌症、慢性呼吸系统疾病和糖尿病导致的过早死亡率（%）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指30～70岁人群因心脑血管疾病、癌症、慢性呼吸系统疾病和糖尿病死亡的概率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通过30-70岁间四类慢病合并的年龄别（5岁组）死亡率来推算</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死因监测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2049"/>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高血压患者规范管理率（%）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按照国家基本公共卫生服务规范要求进行高血压患者健康管理的人数占年内已管理的高血压患者人数的比例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按照规范要求进行高血压患者健康管理的人数/年内已管理的高血压患者人数×100%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基本公卫报表数据</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2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30岁及以上居民高血压知晓率（%）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30岁及以上居民对高血压相关知识知晓的人数占监测总人数的比例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30岁及以上居民对高血压相关知识知晓的人数/监测总人数×100%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77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二级及以上医院卒中中心开展静脉溶栓技术的比例（%）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二级及以上医院卒中中心能开展静脉溶栓技术的医院数占二级及以上医院卒中中心的比例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二级及以上医院卒中中心能开展静脉溶栓技术的医院数/辖区内二级及以上医院卒中中心总数×100%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71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群众性应急救护培训取得培训证书的人员比例（%）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群众性应急救护培训取得培训证书的人数占辖区内总人数的比例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群众性应急救护培训取得培训证书的人数/辖区内总人数×100%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省红十字会</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80"/>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癌症防治行动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癌症防治行动</w:t>
            </w: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67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癌症防治核心知识知晓率（%）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指调查人群中针对所有条目的整体知晓情况。</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人群知晓率=∑每人知晓的条目数/∑每人应答的条目数×100%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6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总体癌症5年生存率（%）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指纳入国家登记报告目录的所有癌症患者，以死亡为观察终点，在确诊后5年仍存活的概率。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确诊后5年仍存活的例数/观察总例数×100%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肿瘤登记</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2-3年周期</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29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69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高发地区重点癌种早诊率（%）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高发地区重点癌种早期诊断的比例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高发地区重点癌种年度早期诊断的人数/高发地区重点癌种当年新发人数×100%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3419"/>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慢性呼吸系统疾病防治行动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慢性呼吸系统疾病防治行动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70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70岁及以下人群慢性呼吸系统疾病死亡率（1/10万）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某地区在一定时期(通常为一年)内70岁及以下慢性呼吸系统疾病（J30-J99）死亡个体数与同期70岁及以下平均人群数量的比值。</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70岁及以下慢性呼吸系统疾病死亡率(‰)=单位时间70岁及以下慢性呼吸系统疾病死亡个体数/同期70岁及以下平均人群数量×10万/10万</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死因监测</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2217"/>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40岁及以上居民慢阻肺知晓率（%）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40岁及以上居民慢阻肺相关知识知晓的人数占辖区内40岁及以上总人数的比例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40岁及以上居民慢阻肺相关知识知晓的人数/辖区内40岁及以上总人数×100%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98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辖区内二级、三级综合医疗机构呼吸与危重症医学科达到《呼吸学科医疗服务能力指南》基本标准的数量</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辖区内二级、三级综合医疗机构呼吸与危重症医学科达到《呼吸学科医疗服务能力指南》基本标准的机构数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辖区内二级、三级综合医疗机构呼吸与危重症医学科达到《呼吸学科医疗服务能力指南》基本标准的机构数</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71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基层医疗卫生机构具备肺功能检查服务能力的比例（%）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具备肺功能检查服务能力的基层医疗卫生机构数占辖区内基层医疗卫生机构总数的比例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具备肺功能检查服务能力的基层医疗卫生机构数/辖区内基层医疗卫生机构总数×100%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020"/>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糖尿病防治行动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糖尿病防治行动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74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18岁以上人群糖尿病患病率（%）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18岁以上达到糖尿病诊断标准者占总人口比例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18岁以上达到糖尿病诊断标准者/总人口</w:t>
            </w:r>
            <w:r w:rsidRPr="00CA76EA">
              <w:rPr>
                <w:rFonts w:ascii="仿宋_GB2312" w:eastAsia="仿宋_GB2312" w:hAnsi="宋体" w:cs="宋体" w:hint="eastAsia"/>
                <w:kern w:val="0"/>
                <w:sz w:val="24"/>
              </w:rPr>
              <w:t>×100%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53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糖尿病患者规范管理率（%）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按照国家基本公共卫生服务规范要求进行糖尿病患者健康管理的人数占年内已管理的糖尿病患者人数的比例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按照规范要求进行糖尿病患者健康管理的人数/年内已管理的糖尿病患者人数×100%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省卫生健康委基卫处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基本公卫报表数据</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8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18岁及以上居民糖尿病知晓率（%）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18岁及以上居民糖尿病相关知识知晓的人数占18岁及以上居民总人数的比例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18岁及以上居民糖尿病相关知识知晓的人数/18岁及以上居民总人数×100%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6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糖尿病患者治疗率（%）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18岁以上达到糖尿病诊断标准者接受正规治疗的人数占总人口比例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18岁以上达到糖尿病诊断标准者接受正规治疗的人数/总人口×100%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2525"/>
          <w:jc w:val="center"/>
        </w:trPr>
        <w:tc>
          <w:tcPr>
            <w:tcW w:w="313" w:type="pct"/>
            <w:vMerge w:val="restart"/>
            <w:shd w:val="clear" w:color="auto" w:fill="auto"/>
            <w:vAlign w:val="center"/>
            <w:hideMark/>
          </w:tcPr>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p>
          <w:p w:rsidR="005C33D0" w:rsidRDefault="005C33D0" w:rsidP="005C33D0">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传染病及地方病防控行动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传染病及地方病防控行动</w:t>
            </w: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Default="005C33D0" w:rsidP="00402F2F">
            <w:pPr>
              <w:spacing w:line="320" w:lineRule="exact"/>
              <w:jc w:val="center"/>
              <w:rPr>
                <w:rFonts w:ascii="仿宋_GB2312" w:eastAsia="仿宋_GB2312" w:hAnsi="黑体" w:cs="宋体"/>
                <w:color w:val="000000"/>
                <w:kern w:val="0"/>
                <w:sz w:val="24"/>
              </w:rPr>
            </w:pPr>
          </w:p>
          <w:p w:rsidR="005C33D0" w:rsidRPr="00CA76EA" w:rsidRDefault="005C33D0"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78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符合治疗条件的艾滋病感染者和病人抗病治疗比例（%）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指一定地区、符合治疗条件的艾滋病感染者和病人接受抗病毒治疗的人数所占比例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指一定地区符合治疗条件的艾滋病感染者和病人接受抗病毒治疗的人数/符合治疗条件的艾滋病感染者和病人的总数×100%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省卫生健康委重传处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1854"/>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79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D919B7">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5岁以下儿童乙型肝炎病毒表面抗原</w:t>
            </w:r>
            <w:r w:rsidR="00D919B7">
              <w:rPr>
                <w:rFonts w:ascii="仿宋_GB2312" w:eastAsia="仿宋_GB2312" w:hAnsi="宋体" w:cs="宋体" w:hint="eastAsia"/>
                <w:color w:val="000000"/>
                <w:kern w:val="0"/>
                <w:sz w:val="24"/>
              </w:rPr>
              <w:t>阳性</w:t>
            </w:r>
            <w:r w:rsidRPr="00CA76EA">
              <w:rPr>
                <w:rFonts w:ascii="仿宋_GB2312" w:eastAsia="仿宋_GB2312" w:hAnsi="宋体" w:cs="宋体" w:hint="eastAsia"/>
                <w:color w:val="000000"/>
                <w:kern w:val="0"/>
                <w:sz w:val="24"/>
              </w:rPr>
              <w:t>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指5岁以下儿童中乙型肝炎病毒表面抗原携带者的比例。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5岁以下儿童中表面抗原阳性的儿童/5岁以下儿童总数×100%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9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肺结核发病率（1/10万）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指一定地区、一定人群，在一定时间内（通常为1年）报告新发活动性肺结核患者人数占该地区总人数的比例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指一定地区、一定人群，在一定时间内（通常为1年）报告新发活动性肺结核患者人数/该地区总人数×10万</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省卫生健康委重传处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160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以乡（镇、街道）为单位适龄儿童免疫规划疫苗接种率（%）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以乡（镇、街道）为单位，免疫规划内适龄儿童的疫苗接种率。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免疫规划内接种疫苗适龄儿童数/适龄儿童数×100%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免疫规划信息系统</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5C33D0">
        <w:trPr>
          <w:cantSplit/>
          <w:trHeight w:val="1541"/>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甲乙类法定传染病报告发病率(1/10万)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一定地区常住人口中，一定时期（每年）内甲乙类传染病报告发病数占该地区常住人口数的比例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一定地区、一定时间（每年）内甲乙类法定传染病报告发病数/该地区常住人口数</w:t>
            </w:r>
            <w:r w:rsidR="007016F0" w:rsidRPr="00CA76EA">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100000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大疫情系统</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2270"/>
          <w:jc w:val="center"/>
        </w:trPr>
        <w:tc>
          <w:tcPr>
            <w:tcW w:w="313" w:type="pct"/>
            <w:vMerge w:val="restart"/>
            <w:shd w:val="clear" w:color="auto" w:fill="auto"/>
            <w:vAlign w:val="center"/>
            <w:hideMark/>
          </w:tcPr>
          <w:p w:rsidR="00391EDB" w:rsidRDefault="00391EDB" w:rsidP="00391EDB">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中医治未病健康促进行动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中医治未病健康促进行动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p>
          <w:p w:rsidR="00391EDB" w:rsidRPr="00CA76EA" w:rsidRDefault="00391EDB" w:rsidP="00391EDB">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中医治未病健康促进行动</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83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三级中医医院设置康复科比例（%）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设置康复科的三级中医医院占辖区内三级中医医院的比例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设置康复科的三级中医医院数/辖区内三级中医医院数×100%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省中医药局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53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中医医院设置治未病科室比例（%）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各级中医医院（除中医专科医院）中有独立治未病科室的比例</w:t>
            </w:r>
          </w:p>
        </w:tc>
        <w:tc>
          <w:tcPr>
            <w:tcW w:w="726" w:type="pct"/>
            <w:shd w:val="clear" w:color="auto" w:fill="auto"/>
            <w:vAlign w:val="center"/>
            <w:hideMark/>
          </w:tcPr>
          <w:p w:rsidR="006B5C8F" w:rsidRPr="00CA76EA" w:rsidRDefault="006B5C8F" w:rsidP="00391EDB">
            <w:pPr>
              <w:spacing w:line="36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辖区内各级中医医院（除中医专科医院）有独立治未病科室的医院数量/辖区内各级中医医院（除中医专科医院）总数×100%</w:t>
            </w:r>
          </w:p>
        </w:tc>
        <w:tc>
          <w:tcPr>
            <w:tcW w:w="525" w:type="pct"/>
            <w:shd w:val="clear" w:color="auto" w:fill="auto"/>
            <w:vAlign w:val="center"/>
            <w:hideMark/>
          </w:tcPr>
          <w:p w:rsidR="006B5C8F" w:rsidRPr="00CA76EA" w:rsidRDefault="006B5C8F" w:rsidP="00391EDB">
            <w:pPr>
              <w:spacing w:line="36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省中医药局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4906"/>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乡镇卫生院、社区卫生服务中心提供6类以上中医非药物疗法</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提供 6 类以上中医非药物疗法服务的乡镇卫生院、社区卫生服务中心所占比例</w:t>
            </w:r>
          </w:p>
        </w:tc>
        <w:tc>
          <w:tcPr>
            <w:tcW w:w="726" w:type="pct"/>
            <w:shd w:val="clear" w:color="auto" w:fill="auto"/>
            <w:vAlign w:val="center"/>
            <w:hideMark/>
          </w:tcPr>
          <w:p w:rsidR="006B5C8F" w:rsidRPr="00CA76EA" w:rsidRDefault="006B5C8F" w:rsidP="00391EDB">
            <w:pPr>
              <w:spacing w:line="36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提供 6类以上中医非药物疗法服务的乡镇卫生院、社区卫生服务中心所占比例 = 年末提供 6类以上中医非药物疗法服务的乡镇卫生院、社区卫生服务中心数／年末同类机构总数×100%</w:t>
            </w:r>
          </w:p>
        </w:tc>
        <w:tc>
          <w:tcPr>
            <w:tcW w:w="525" w:type="pct"/>
            <w:shd w:val="clear" w:color="auto" w:fill="auto"/>
            <w:vAlign w:val="center"/>
            <w:hideMark/>
          </w:tcPr>
          <w:p w:rsidR="006B5C8F" w:rsidRPr="00CA76EA" w:rsidRDefault="006B5C8F" w:rsidP="00391EDB">
            <w:pPr>
              <w:spacing w:line="36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省中医药局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1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村卫生室提供4类以上中医非药物疗法的比例</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提供4类以上中医非药物疗法服务的村卫生室所占比例</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提供4类以上中医非药物疗法服务的村卫生室所占比例 = 年末提供4类以上中医非药物疗法服务的村卫生室／年末村卫生室总数×100%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省中医药局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1594"/>
          <w:jc w:val="center"/>
        </w:trPr>
        <w:tc>
          <w:tcPr>
            <w:tcW w:w="313" w:type="pct"/>
            <w:vMerge w:val="restart"/>
            <w:shd w:val="clear" w:color="auto" w:fill="auto"/>
            <w:vAlign w:val="center"/>
            <w:hideMark/>
          </w:tcPr>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口腔健康促进行动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口腔健康促进行动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Pr="00CA76EA" w:rsidRDefault="00391EDB"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87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12岁儿童患龋率（%）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监测时12岁儿童恒牙患龋病的频率，常以百分数表示。</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被调查儿童中恒牙患龋病的人数数/所有被调查的儿童数×100%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3271"/>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龋齿填充治疗率（%）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因龋充填而且无继发龋的牙数占患龋牙数及因龋充填牙数总和的百分率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(被调查者已经充填龋齿且没有继发龋的牙数)/（被调查者有龋未治疗的牙数+治疗后有继发龋的牙数+已经充填龋齿且没有继发龋的牙数）×100%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21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89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儿童窝沟封闭服务覆盖率（%）</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监测区域内接受窝沟封闭服务的适龄儿童所占的比例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(被调查的适龄儿童接受窝沟封闭的人数/被调查的所有适龄儿童人数)×100%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57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FF592C">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成人每天早晚刷牙率（</w:t>
            </w:r>
            <w:r w:rsidR="00FF592C">
              <w:rPr>
                <w:rFonts w:ascii="仿宋_GB2312" w:eastAsia="仿宋_GB2312" w:hAnsi="宋体" w:cs="宋体" w:hint="eastAsia"/>
                <w:color w:val="000000"/>
                <w:kern w:val="0"/>
                <w:sz w:val="24"/>
              </w:rPr>
              <w:t>%</w:t>
            </w:r>
            <w:r w:rsidRPr="00CA76EA">
              <w:rPr>
                <w:rFonts w:ascii="仿宋_GB2312" w:eastAsia="仿宋_GB2312" w:hAnsi="宋体" w:cs="宋体" w:hint="eastAsia"/>
                <w:color w:val="000000"/>
                <w:kern w:val="0"/>
                <w:sz w:val="24"/>
              </w:rPr>
              <w:t>）</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每天刷牙2次及以上的成年人占调查人数的百分率</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(被调查的成年人每天早晚两次刷牙及以上的人数/被调查的所有成年人人数)×100%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38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小学生每天两次刷牙率（%）</w:t>
            </w:r>
          </w:p>
        </w:tc>
        <w:tc>
          <w:tcPr>
            <w:tcW w:w="1109" w:type="pct"/>
            <w:shd w:val="clear" w:color="auto" w:fill="auto"/>
            <w:vAlign w:val="center"/>
            <w:hideMark/>
          </w:tcPr>
          <w:p w:rsidR="006B5C8F" w:rsidRPr="00CA76EA" w:rsidRDefault="006B5C8F" w:rsidP="00402F2F">
            <w:pPr>
              <w:spacing w:line="320" w:lineRule="exac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每天刷牙2次及以上的小学生占调查人数的百分率</w:t>
            </w:r>
          </w:p>
        </w:tc>
        <w:tc>
          <w:tcPr>
            <w:tcW w:w="726" w:type="pct"/>
            <w:shd w:val="clear" w:color="auto" w:fill="auto"/>
            <w:vAlign w:val="center"/>
            <w:hideMark/>
          </w:tcPr>
          <w:p w:rsidR="006B5C8F" w:rsidRPr="00CA76EA" w:rsidRDefault="006B5C8F" w:rsidP="00391EDB">
            <w:pPr>
              <w:spacing w:line="300" w:lineRule="exac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(被调查的小学生每天早晚两次刷牙的人数/被调查的所有小学生人数)×100%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00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家长帮助儿童刷牙率（%）</w:t>
            </w:r>
          </w:p>
        </w:tc>
        <w:tc>
          <w:tcPr>
            <w:tcW w:w="1109" w:type="pct"/>
            <w:shd w:val="clear" w:color="auto" w:fill="auto"/>
            <w:vAlign w:val="center"/>
            <w:hideMark/>
          </w:tcPr>
          <w:p w:rsidR="006B5C8F" w:rsidRPr="00CA76EA" w:rsidRDefault="006B5C8F" w:rsidP="00402F2F">
            <w:pPr>
              <w:spacing w:line="320" w:lineRule="exac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家长帮助儿童刷牙的比例</w:t>
            </w:r>
          </w:p>
        </w:tc>
        <w:tc>
          <w:tcPr>
            <w:tcW w:w="726" w:type="pct"/>
            <w:shd w:val="clear" w:color="auto" w:fill="auto"/>
            <w:vAlign w:val="center"/>
            <w:hideMark/>
          </w:tcPr>
          <w:p w:rsidR="006B5C8F" w:rsidRPr="00CA76EA" w:rsidRDefault="006B5C8F" w:rsidP="00391EDB">
            <w:pPr>
              <w:spacing w:line="300" w:lineRule="exac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（被调查家长中帮助儿童刷牙的人数/被调查家长总人数)×100%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688"/>
          <w:jc w:val="center"/>
        </w:trPr>
        <w:tc>
          <w:tcPr>
            <w:tcW w:w="313" w:type="pct"/>
            <w:vMerge w:val="restart"/>
            <w:shd w:val="clear" w:color="auto" w:fill="auto"/>
            <w:vAlign w:val="center"/>
            <w:hideMark/>
          </w:tcPr>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民族地区健康促进行动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民族地区健康促进行动</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Pr="00CA76EA" w:rsidRDefault="00391EDB"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93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人均预期寿命(岁)</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指在一定死亡水平下，预期民族地区每个人出生时平均可存活的年数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根据寿命表法计算</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人口普查和生命登记</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06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婴儿死亡率(‰)</w:t>
            </w:r>
          </w:p>
        </w:tc>
        <w:tc>
          <w:tcPr>
            <w:tcW w:w="1109"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民族地区婴儿死亡数占活产数的比例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民族地区婴儿死亡数/民族地区活产数×1000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2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5岁以下儿童死亡率(‰)</w:t>
            </w:r>
          </w:p>
        </w:tc>
        <w:tc>
          <w:tcPr>
            <w:tcW w:w="1109"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民族地区5岁以下儿童死亡数占活产数的比例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民族地区5岁以下儿童死亡数/民族地区活产数×1000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91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孕产妇死亡率(/10万)</w:t>
            </w:r>
          </w:p>
        </w:tc>
        <w:tc>
          <w:tcPr>
            <w:tcW w:w="1109"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民族地区孕产妇死亡数占活产数的比例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民族地区孕产妇死亡数/民族地区活产数×100000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195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高血压患者规范管理率(%)</w:t>
            </w:r>
          </w:p>
        </w:tc>
        <w:tc>
          <w:tcPr>
            <w:tcW w:w="1109"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民族地区按照国家基本公共卫生服务规范要求进行高血压患者健康管理的人数占年内已管理的高血压患者人数的比例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民族地区按照规范要求进行高血压患者健康管理的人数/年内已管理的高血压患者人数×100%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基本公卫报表数据</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2008"/>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2型糖尿病患者规范管理率(%)</w:t>
            </w:r>
          </w:p>
        </w:tc>
        <w:tc>
          <w:tcPr>
            <w:tcW w:w="1109"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民族地区按照国家基本公共卫生服务规范要求进行糖尿病患者健康管理的人数占年内已管理的糖尿病患者人数的比例</w:t>
            </w:r>
          </w:p>
        </w:tc>
        <w:tc>
          <w:tcPr>
            <w:tcW w:w="726" w:type="pct"/>
            <w:shd w:val="clear" w:color="auto" w:fill="auto"/>
            <w:vAlign w:val="center"/>
            <w:hideMark/>
          </w:tcPr>
          <w:p w:rsidR="006B5C8F" w:rsidRPr="00CA76EA" w:rsidRDefault="006B5C8F" w:rsidP="00391EDB">
            <w:pPr>
              <w:spacing w:line="30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民族地区按照规范要求进行糖尿病患者健康管理的人数/年内已管理的糖尿病患者人数×100%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基本公卫报表数据</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1552"/>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99</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每千常住人口执业（助理）医师数（人）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民族地区每千常住人口执业（助理）医师数，分母系统计局常住人口数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民族地区年末执业（助理）医师数/年末常住人口数人口数×1000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70"/>
          <w:jc w:val="center"/>
        </w:trPr>
        <w:tc>
          <w:tcPr>
            <w:tcW w:w="313" w:type="pct"/>
            <w:vMerge w:val="restart"/>
            <w:shd w:val="clear" w:color="auto" w:fill="auto"/>
            <w:vAlign w:val="center"/>
            <w:hideMark/>
          </w:tcPr>
          <w:p w:rsidR="006B5C8F" w:rsidRPr="00CA76EA"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lastRenderedPageBreak/>
              <w:t>健康水平</w:t>
            </w: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100</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人均预期寿命（岁）</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指在一定死亡水平下，预期每个人出生时平均可存活的年数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根据寿命表法计算</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人口普查和生命登记</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46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101</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人均健康预期寿命（岁）</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考虑了疾病和/或残疾状况导致的非完全健康状态，一个人在完全健康状态下生存的平均年数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计算过程复杂，按照目前常见方法分为2种，1.疾病负担研究方法，根据数据估计伤残调整寿命年，得到伤残率，最后用寿命表结合沙利文法计算健康期望寿命2.自报健康问卷调查得到伤残率，最后用寿命表结合沙利文法计算健康期望寿命</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省卫生健康委疾控处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2074"/>
          <w:jc w:val="center"/>
        </w:trPr>
        <w:tc>
          <w:tcPr>
            <w:tcW w:w="313" w:type="pct"/>
            <w:vMerge w:val="restart"/>
            <w:shd w:val="clear" w:color="auto" w:fill="auto"/>
            <w:vAlign w:val="center"/>
            <w:hideMark/>
          </w:tcPr>
          <w:p w:rsidR="00391EDB" w:rsidRDefault="00391EDB" w:rsidP="00391EDB">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健康服务与保障</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6B5C8F" w:rsidRDefault="006B5C8F" w:rsidP="00402F2F">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健康服务与保障</w:t>
            </w: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402F2F">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r w:rsidRPr="00CA76EA">
              <w:rPr>
                <w:rFonts w:ascii="仿宋_GB2312" w:eastAsia="仿宋_GB2312" w:hAnsi="黑体" w:cs="宋体" w:hint="eastAsia"/>
                <w:color w:val="000000"/>
                <w:kern w:val="0"/>
                <w:sz w:val="24"/>
              </w:rPr>
              <w:t>健康服务与保障</w:t>
            </w:r>
          </w:p>
          <w:p w:rsidR="00391EDB" w:rsidRDefault="00391EDB" w:rsidP="00391EDB">
            <w:pPr>
              <w:spacing w:line="320" w:lineRule="exact"/>
              <w:jc w:val="center"/>
              <w:rPr>
                <w:rFonts w:ascii="仿宋_GB2312" w:eastAsia="仿宋_GB2312" w:hAnsi="黑体" w:cs="宋体"/>
                <w:color w:val="000000"/>
                <w:kern w:val="0"/>
                <w:sz w:val="24"/>
              </w:rPr>
            </w:pPr>
          </w:p>
          <w:p w:rsidR="00391EDB" w:rsidRDefault="00391EDB" w:rsidP="00391EDB">
            <w:pPr>
              <w:spacing w:line="320" w:lineRule="exact"/>
              <w:jc w:val="center"/>
              <w:rPr>
                <w:rFonts w:ascii="仿宋_GB2312" w:eastAsia="仿宋_GB2312" w:hAnsi="黑体" w:cs="宋体"/>
                <w:color w:val="000000"/>
                <w:kern w:val="0"/>
                <w:sz w:val="24"/>
              </w:rPr>
            </w:pPr>
          </w:p>
          <w:p w:rsidR="00391EDB" w:rsidRPr="00CA76EA" w:rsidRDefault="00391EDB" w:rsidP="00402F2F">
            <w:pPr>
              <w:spacing w:line="320" w:lineRule="exact"/>
              <w:jc w:val="center"/>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lastRenderedPageBreak/>
              <w:t>102</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每千人口注册护士数（人）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每千常住人口注册护士数，分母系国家统计局常住人口数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年末注册护士数/年末常住人口数×1000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4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103</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每千常住人口执业（助理）医师数（人）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kern w:val="0"/>
                <w:sz w:val="24"/>
              </w:rPr>
            </w:pPr>
            <w:r w:rsidRPr="00CA76EA">
              <w:rPr>
                <w:rFonts w:ascii="仿宋_GB2312" w:eastAsia="仿宋_GB2312" w:hAnsi="宋体" w:cs="宋体" w:hint="eastAsia"/>
                <w:kern w:val="0"/>
                <w:sz w:val="24"/>
              </w:rPr>
              <w:t>每千常住人口执业（助理）医师数，分母系国家统计局常住人口数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年末执业（助理）医师数/年末常住人口数×1000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391EDB">
        <w:trPr>
          <w:cantSplit/>
          <w:trHeight w:val="2868"/>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104</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每万人口全科医生数（人）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每万常住人口全科医生数，全科医生包括取得执业注册（含加注）范围为全科医学专业，或者取得全科医学培训合格证书的,执业（助理）医师数之和，分母系国家统计局常住人口数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年末取得执业注册（含加注）范围为全科医学专业，或者取得全科医学培训合格证书的执业（助理）医师数之和/年末常住人口数×10000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省卫生健康委人教处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62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105</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每万人口专业公共卫生机构人员数（人）</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每万常住人口专业公共卫生机构人员数（人），分母系国家统计局常住人口数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年末专业公共卫生机构人员数/年末常住人口数×10000</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21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106</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每千人口医疗卫生机构床位数（张）</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每千常住人口医疗卫生机构床位数 ，分母系国家统计局常住人口数</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年末医疗卫生机构床位数／年末常住人口数×1000 </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省卫生健康委医政处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2115"/>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107</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个人卫生支出占卫生总费用的比重（%）</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个人卫生支出指城乡居民在接受各类医疗卫生服务时的个人负担部分。个人卫生支出占卫生总费用比重是指卫生总费用中由个人负担的费用比重，是反映城乡居民医疗卫生费用负担程度的评价指标</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个人卫生支出占卫生总费用比重是指卫生总费用中由个人负担的费用比重（计算方法略）</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省卫生健康委规财处</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440"/>
          <w:jc w:val="center"/>
        </w:trPr>
        <w:tc>
          <w:tcPr>
            <w:tcW w:w="313" w:type="pct"/>
            <w:vMerge/>
            <w:vAlign w:val="center"/>
            <w:hideMark/>
          </w:tcPr>
          <w:p w:rsidR="006B5C8F" w:rsidRPr="00CA76EA" w:rsidRDefault="006B5C8F" w:rsidP="00402F2F">
            <w:pPr>
              <w:spacing w:line="320" w:lineRule="exact"/>
              <w:jc w:val="left"/>
              <w:rPr>
                <w:rFonts w:ascii="仿宋_GB2312" w:eastAsia="仿宋_GB2312" w:hAnsi="黑体" w:cs="宋体"/>
                <w:color w:val="000000"/>
                <w:kern w:val="0"/>
                <w:sz w:val="24"/>
              </w:rPr>
            </w:pPr>
          </w:p>
        </w:tc>
        <w:tc>
          <w:tcPr>
            <w:tcW w:w="288"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108</w:t>
            </w:r>
          </w:p>
        </w:tc>
        <w:tc>
          <w:tcPr>
            <w:tcW w:w="255"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 xml:space="preserve">　</w:t>
            </w:r>
          </w:p>
        </w:tc>
        <w:tc>
          <w:tcPr>
            <w:tcW w:w="598"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基本医疗保险参保人数</w:t>
            </w:r>
          </w:p>
        </w:tc>
        <w:tc>
          <w:tcPr>
            <w:tcW w:w="1109"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参加城镇职工基本医疗保险和城乡居民基本医疗保险人数合计</w:t>
            </w:r>
          </w:p>
        </w:tc>
        <w:tc>
          <w:tcPr>
            <w:tcW w:w="726"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参加城镇职工基本医疗保险+城乡居民基本医疗保险人数</w:t>
            </w:r>
          </w:p>
        </w:tc>
        <w:tc>
          <w:tcPr>
            <w:tcW w:w="525"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省医保局</w:t>
            </w:r>
          </w:p>
        </w:tc>
        <w:tc>
          <w:tcPr>
            <w:tcW w:w="491" w:type="pct"/>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责任部门提供</w:t>
            </w:r>
          </w:p>
        </w:tc>
        <w:tc>
          <w:tcPr>
            <w:tcW w:w="413"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年度</w:t>
            </w:r>
          </w:p>
        </w:tc>
        <w:tc>
          <w:tcPr>
            <w:tcW w:w="282" w:type="pct"/>
            <w:shd w:val="clear" w:color="auto" w:fill="auto"/>
            <w:vAlign w:val="center"/>
            <w:hideMark/>
          </w:tcPr>
          <w:p w:rsidR="006B5C8F" w:rsidRPr="00CA76EA" w:rsidRDefault="006B5C8F" w:rsidP="00402F2F">
            <w:pPr>
              <w:spacing w:line="320" w:lineRule="exact"/>
              <w:jc w:val="center"/>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省级、市级</w:t>
            </w:r>
          </w:p>
        </w:tc>
      </w:tr>
      <w:tr w:rsidR="006B5C8F" w:rsidRPr="00CA76EA" w:rsidTr="00402F2F">
        <w:trPr>
          <w:cantSplit/>
          <w:trHeight w:val="1118"/>
          <w:jc w:val="center"/>
        </w:trPr>
        <w:tc>
          <w:tcPr>
            <w:tcW w:w="5000" w:type="pct"/>
            <w:gridSpan w:val="10"/>
            <w:shd w:val="clear" w:color="auto" w:fill="auto"/>
            <w:vAlign w:val="center"/>
            <w:hideMark/>
          </w:tcPr>
          <w:p w:rsidR="006B5C8F" w:rsidRPr="00CA76EA" w:rsidRDefault="006B5C8F" w:rsidP="00402F2F">
            <w:pPr>
              <w:spacing w:line="320" w:lineRule="exact"/>
              <w:jc w:val="left"/>
              <w:rPr>
                <w:rFonts w:ascii="仿宋_GB2312" w:eastAsia="仿宋_GB2312" w:hAnsi="宋体" w:cs="宋体"/>
                <w:color w:val="000000"/>
                <w:kern w:val="0"/>
                <w:sz w:val="24"/>
              </w:rPr>
            </w:pPr>
            <w:r w:rsidRPr="00CA76EA">
              <w:rPr>
                <w:rFonts w:ascii="仿宋_GB2312" w:eastAsia="仿宋_GB2312" w:hAnsi="宋体" w:cs="宋体" w:hint="eastAsia"/>
                <w:color w:val="000000"/>
                <w:kern w:val="0"/>
                <w:sz w:val="24"/>
              </w:rPr>
              <w:t>备注：1.序号后标“*”的指标已纳入省政府26项考核指标。</w:t>
            </w:r>
            <w:r w:rsidRPr="00CA76EA">
              <w:rPr>
                <w:rFonts w:ascii="仿宋_GB2312" w:eastAsia="仿宋_GB2312" w:hAnsi="宋体" w:cs="宋体" w:hint="eastAsia"/>
                <w:color w:val="000000"/>
                <w:kern w:val="0"/>
                <w:sz w:val="24"/>
              </w:rPr>
              <w:br/>
              <w:t xml:space="preserve">      2.序号后标“#”的指标为各专项行动方案中提出的目标指标。</w:t>
            </w:r>
            <w:r w:rsidRPr="00CA76EA">
              <w:rPr>
                <w:rFonts w:ascii="仿宋_GB2312" w:eastAsia="仿宋_GB2312" w:hAnsi="宋体" w:cs="宋体" w:hint="eastAsia"/>
                <w:color w:val="000000"/>
                <w:kern w:val="0"/>
                <w:sz w:val="24"/>
              </w:rPr>
              <w:br/>
              <w:t xml:space="preserve">       </w:t>
            </w:r>
          </w:p>
        </w:tc>
      </w:tr>
    </w:tbl>
    <w:p w:rsidR="00495E96" w:rsidRPr="006B5C8F" w:rsidRDefault="00495E96" w:rsidP="00C93192">
      <w:pPr>
        <w:tabs>
          <w:tab w:val="left" w:pos="6720"/>
        </w:tabs>
        <w:spacing w:line="600" w:lineRule="exact"/>
        <w:rPr>
          <w:rFonts w:ascii="黑体" w:eastAsia="黑体"/>
          <w:snapToGrid w:val="0"/>
          <w:kern w:val="0"/>
          <w:sz w:val="28"/>
          <w:szCs w:val="28"/>
        </w:rPr>
      </w:pPr>
    </w:p>
    <w:p w:rsidR="006B5C8F" w:rsidRDefault="006B5C8F" w:rsidP="00C93192">
      <w:pPr>
        <w:tabs>
          <w:tab w:val="left" w:pos="6720"/>
        </w:tabs>
        <w:spacing w:line="600" w:lineRule="exact"/>
        <w:rPr>
          <w:rFonts w:ascii="黑体" w:eastAsia="黑体" w:hint="eastAsia"/>
          <w:snapToGrid w:val="0"/>
          <w:kern w:val="0"/>
          <w:sz w:val="28"/>
          <w:szCs w:val="28"/>
        </w:rPr>
        <w:sectPr w:rsidR="006B5C8F" w:rsidSect="006B5C8F">
          <w:pgSz w:w="16838" w:h="11906" w:orient="landscape" w:code="9"/>
          <w:pgMar w:top="1588" w:right="2098" w:bottom="1474" w:left="1985" w:header="851" w:footer="1418" w:gutter="0"/>
          <w:cols w:space="720"/>
          <w:docGrid w:type="lines" w:linePitch="312"/>
        </w:sectPr>
      </w:pPr>
    </w:p>
    <w:p w:rsidR="00C3230E" w:rsidRPr="00E3180B" w:rsidRDefault="00C3230E" w:rsidP="00D937E4">
      <w:pPr>
        <w:spacing w:line="480" w:lineRule="exact"/>
        <w:rPr>
          <w:rFonts w:ascii="仿宋_GB2312" w:eastAsia="仿宋_GB2312" w:hint="eastAsia"/>
          <w:sz w:val="28"/>
          <w:szCs w:val="28"/>
        </w:rPr>
      </w:pPr>
      <w:bookmarkStart w:id="0" w:name="_GoBack"/>
      <w:bookmarkEnd w:id="0"/>
    </w:p>
    <w:sectPr w:rsidR="00C3230E" w:rsidRPr="00E3180B" w:rsidSect="00D15669">
      <w:pgSz w:w="11906" w:h="16838" w:code="9"/>
      <w:pgMar w:top="2098" w:right="1474" w:bottom="1985" w:left="1588" w:header="851" w:footer="141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D4" w:rsidRDefault="00E130D4">
      <w:r>
        <w:separator/>
      </w:r>
    </w:p>
  </w:endnote>
  <w:endnote w:type="continuationSeparator" w:id="0">
    <w:p w:rsidR="00E130D4" w:rsidRDefault="00E1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SimSun-ExtB"/>
    <w:charset w:val="86"/>
    <w:family w:val="script"/>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EA" w:rsidRDefault="00CA76EA">
    <w:pPr>
      <w:pStyle w:val="a6"/>
      <w:ind w:right="360" w:firstLine="360"/>
      <w:rPr>
        <w:rFonts w:ascii="宋体"/>
        <w:sz w:val="28"/>
        <w:szCs w:val="28"/>
      </w:rPr>
    </w:pPr>
    <w:r>
      <w:rPr>
        <w:rFonts w:ascii="宋体" w:hAnsi="宋体"/>
        <w:sz w:val="28"/>
        <w:szCs w:val="28"/>
      </w:rPr>
      <w:t xml:space="preserve">— </w:t>
    </w:r>
    <w:r w:rsidR="00B710C1">
      <w:rPr>
        <w:rStyle w:val="a3"/>
        <w:rFonts w:ascii="宋体" w:hAnsi="宋体"/>
        <w:sz w:val="28"/>
        <w:szCs w:val="28"/>
      </w:rPr>
      <w:fldChar w:fldCharType="begin"/>
    </w:r>
    <w:r>
      <w:rPr>
        <w:rStyle w:val="a3"/>
        <w:rFonts w:ascii="宋体" w:hAnsi="宋体"/>
        <w:sz w:val="28"/>
        <w:szCs w:val="28"/>
      </w:rPr>
      <w:instrText xml:space="preserve"> PAGE </w:instrText>
    </w:r>
    <w:r w:rsidR="00B710C1">
      <w:rPr>
        <w:rStyle w:val="a3"/>
        <w:rFonts w:ascii="宋体" w:hAnsi="宋体"/>
        <w:sz w:val="28"/>
        <w:szCs w:val="28"/>
      </w:rPr>
      <w:fldChar w:fldCharType="separate"/>
    </w:r>
    <w:r w:rsidR="00D937E4">
      <w:rPr>
        <w:rStyle w:val="a3"/>
        <w:rFonts w:ascii="宋体" w:hAnsi="宋体"/>
        <w:noProof/>
        <w:sz w:val="28"/>
        <w:szCs w:val="28"/>
      </w:rPr>
      <w:t>34</w:t>
    </w:r>
    <w:r w:rsidR="00B710C1">
      <w:rPr>
        <w:rStyle w:val="a3"/>
        <w:rFonts w:ascii="宋体" w:hAnsi="宋体"/>
        <w:sz w:val="28"/>
        <w:szCs w:val="28"/>
      </w:rPr>
      <w:fldChar w:fldCharType="end"/>
    </w:r>
    <w:r>
      <w:rPr>
        <w:rStyle w:val="a3"/>
        <w:rFonts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EA" w:rsidRDefault="00CA76EA" w:rsidP="007F3A57">
    <w:pPr>
      <w:pStyle w:val="a6"/>
      <w:ind w:right="360" w:firstLine="360"/>
      <w:jc w:val="right"/>
    </w:pPr>
    <w:r>
      <w:rPr>
        <w:rFonts w:ascii="宋体" w:hAnsi="宋体"/>
        <w:sz w:val="28"/>
        <w:szCs w:val="28"/>
      </w:rPr>
      <w:t xml:space="preserve">— </w:t>
    </w:r>
    <w:r w:rsidR="00B710C1">
      <w:rPr>
        <w:rStyle w:val="a3"/>
        <w:rFonts w:ascii="宋体" w:hAnsi="宋体"/>
        <w:sz w:val="28"/>
        <w:szCs w:val="28"/>
      </w:rPr>
      <w:fldChar w:fldCharType="begin"/>
    </w:r>
    <w:r>
      <w:rPr>
        <w:rStyle w:val="a3"/>
        <w:rFonts w:ascii="宋体" w:hAnsi="宋体"/>
        <w:sz w:val="28"/>
        <w:szCs w:val="28"/>
      </w:rPr>
      <w:instrText xml:space="preserve"> PAGE </w:instrText>
    </w:r>
    <w:r w:rsidR="00B710C1">
      <w:rPr>
        <w:rStyle w:val="a3"/>
        <w:rFonts w:ascii="宋体" w:hAnsi="宋体"/>
        <w:sz w:val="28"/>
        <w:szCs w:val="28"/>
      </w:rPr>
      <w:fldChar w:fldCharType="separate"/>
    </w:r>
    <w:r w:rsidR="00D937E4">
      <w:rPr>
        <w:rStyle w:val="a3"/>
        <w:rFonts w:ascii="宋体" w:hAnsi="宋体"/>
        <w:noProof/>
        <w:sz w:val="28"/>
        <w:szCs w:val="28"/>
      </w:rPr>
      <w:t>33</w:t>
    </w:r>
    <w:r w:rsidR="00B710C1">
      <w:rPr>
        <w:rStyle w:val="a3"/>
        <w:rFonts w:ascii="宋体" w:hAnsi="宋体"/>
        <w:sz w:val="28"/>
        <w:szCs w:val="28"/>
      </w:rPr>
      <w:fldChar w:fldCharType="end"/>
    </w:r>
    <w:r>
      <w:rPr>
        <w:rStyle w:val="a3"/>
        <w:rFonts w:ascii="宋体" w:hAnsi="宋体"/>
        <w:sz w:val="28"/>
        <w:szCs w:val="28"/>
      </w:rPr>
      <w:t xml:space="preserve"> </w:t>
    </w:r>
    <w:r>
      <w:rPr>
        <w:rFonts w:ascii="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EA" w:rsidRDefault="00CA76EA" w:rsidP="005677B6">
    <w:pPr>
      <w:pStyle w:val="a6"/>
      <w:ind w:right="360" w:firstLine="360"/>
      <w:jc w:val="right"/>
    </w:pPr>
    <w:r>
      <w:rPr>
        <w:rFonts w:ascii="宋体" w:hAnsi="宋体"/>
        <w:sz w:val="28"/>
        <w:szCs w:val="28"/>
      </w:rPr>
      <w:t xml:space="preserve">— </w:t>
    </w:r>
    <w:r w:rsidR="00B710C1">
      <w:rPr>
        <w:rStyle w:val="a3"/>
        <w:rFonts w:ascii="宋体" w:hAnsi="宋体"/>
        <w:sz w:val="28"/>
        <w:szCs w:val="28"/>
      </w:rPr>
      <w:fldChar w:fldCharType="begin"/>
    </w:r>
    <w:r>
      <w:rPr>
        <w:rStyle w:val="a3"/>
        <w:rFonts w:ascii="宋体" w:hAnsi="宋体"/>
        <w:sz w:val="28"/>
        <w:szCs w:val="28"/>
      </w:rPr>
      <w:instrText xml:space="preserve"> PAGE </w:instrText>
    </w:r>
    <w:r w:rsidR="00B710C1">
      <w:rPr>
        <w:rStyle w:val="a3"/>
        <w:rFonts w:ascii="宋体" w:hAnsi="宋体"/>
        <w:sz w:val="28"/>
        <w:szCs w:val="28"/>
      </w:rPr>
      <w:fldChar w:fldCharType="separate"/>
    </w:r>
    <w:r>
      <w:rPr>
        <w:rStyle w:val="a3"/>
        <w:rFonts w:ascii="宋体" w:hAnsi="宋体"/>
        <w:noProof/>
        <w:sz w:val="28"/>
        <w:szCs w:val="28"/>
      </w:rPr>
      <w:t>7</w:t>
    </w:r>
    <w:r w:rsidR="00B710C1">
      <w:rPr>
        <w:rStyle w:val="a3"/>
        <w:rFonts w:ascii="宋体" w:hAnsi="宋体"/>
        <w:sz w:val="28"/>
        <w:szCs w:val="28"/>
      </w:rPr>
      <w:fldChar w:fldCharType="end"/>
    </w:r>
    <w:r>
      <w:rPr>
        <w:rStyle w:val="a3"/>
        <w:rFonts w:ascii="宋体" w:hAnsi="宋体"/>
        <w:sz w:val="28"/>
        <w:szCs w:val="28"/>
      </w:rPr>
      <w:t xml:space="preserve">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D4" w:rsidRDefault="00E130D4">
      <w:r>
        <w:separator/>
      </w:r>
    </w:p>
  </w:footnote>
  <w:footnote w:type="continuationSeparator" w:id="0">
    <w:p w:rsidR="00E130D4" w:rsidRDefault="00E1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japaneseCounting"/>
      <w:lvlText w:val="%1、"/>
      <w:lvlJc w:val="left"/>
      <w:pPr>
        <w:ind w:left="450" w:hanging="45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B4CFA4E"/>
    <w:multiLevelType w:val="singleLevel"/>
    <w:tmpl w:val="2B4CFA4E"/>
    <w:lvl w:ilvl="0">
      <w:start w:val="1"/>
      <w:numFmt w:val="chineseCounting"/>
      <w:suff w:val="nothing"/>
      <w:lvlText w:val="%1、"/>
      <w:lvlJc w:val="left"/>
      <w:rPr>
        <w:rFonts w:cs="Times New Roman" w:hint="eastAsia"/>
      </w:rPr>
    </w:lvl>
  </w:abstractNum>
  <w:num w:numId="1">
    <w:abstractNumId w:val="0"/>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BCA"/>
    <w:rsid w:val="00050E39"/>
    <w:rsid w:val="00056C68"/>
    <w:rsid w:val="00065C09"/>
    <w:rsid w:val="0007331C"/>
    <w:rsid w:val="00077346"/>
    <w:rsid w:val="00080561"/>
    <w:rsid w:val="000877B8"/>
    <w:rsid w:val="000941DC"/>
    <w:rsid w:val="000A104B"/>
    <w:rsid w:val="000E15CD"/>
    <w:rsid w:val="000E1B12"/>
    <w:rsid w:val="000E1BA9"/>
    <w:rsid w:val="00123771"/>
    <w:rsid w:val="00146B7E"/>
    <w:rsid w:val="0015466B"/>
    <w:rsid w:val="00155E03"/>
    <w:rsid w:val="00157F19"/>
    <w:rsid w:val="00162DA0"/>
    <w:rsid w:val="00172A27"/>
    <w:rsid w:val="00182AC6"/>
    <w:rsid w:val="001857B2"/>
    <w:rsid w:val="00195026"/>
    <w:rsid w:val="001A2235"/>
    <w:rsid w:val="001A7BE3"/>
    <w:rsid w:val="001C7641"/>
    <w:rsid w:val="001D7CF9"/>
    <w:rsid w:val="001F2FB3"/>
    <w:rsid w:val="001F31B4"/>
    <w:rsid w:val="001F5945"/>
    <w:rsid w:val="002013AE"/>
    <w:rsid w:val="00205E24"/>
    <w:rsid w:val="0022696B"/>
    <w:rsid w:val="00236118"/>
    <w:rsid w:val="0024037E"/>
    <w:rsid w:val="00242B1A"/>
    <w:rsid w:val="00256E31"/>
    <w:rsid w:val="002645E1"/>
    <w:rsid w:val="00273ECD"/>
    <w:rsid w:val="002743AA"/>
    <w:rsid w:val="00274418"/>
    <w:rsid w:val="00284305"/>
    <w:rsid w:val="00286309"/>
    <w:rsid w:val="0028701B"/>
    <w:rsid w:val="00291538"/>
    <w:rsid w:val="00295E90"/>
    <w:rsid w:val="002A1A5E"/>
    <w:rsid w:val="002A6CC0"/>
    <w:rsid w:val="002A750E"/>
    <w:rsid w:val="002B6A69"/>
    <w:rsid w:val="002C0139"/>
    <w:rsid w:val="002D2193"/>
    <w:rsid w:val="002E2BD0"/>
    <w:rsid w:val="002F3078"/>
    <w:rsid w:val="002F36CC"/>
    <w:rsid w:val="00306939"/>
    <w:rsid w:val="00311B46"/>
    <w:rsid w:val="00312919"/>
    <w:rsid w:val="003143CA"/>
    <w:rsid w:val="00314F0B"/>
    <w:rsid w:val="00316D85"/>
    <w:rsid w:val="00316F88"/>
    <w:rsid w:val="0033138D"/>
    <w:rsid w:val="00391EDB"/>
    <w:rsid w:val="003975FD"/>
    <w:rsid w:val="00397B30"/>
    <w:rsid w:val="003B7069"/>
    <w:rsid w:val="003C0346"/>
    <w:rsid w:val="003E29AB"/>
    <w:rsid w:val="003F013D"/>
    <w:rsid w:val="003F5CFB"/>
    <w:rsid w:val="00402F2F"/>
    <w:rsid w:val="0042193B"/>
    <w:rsid w:val="00446249"/>
    <w:rsid w:val="00450B75"/>
    <w:rsid w:val="00454662"/>
    <w:rsid w:val="00456849"/>
    <w:rsid w:val="0047140F"/>
    <w:rsid w:val="00495D8D"/>
    <w:rsid w:val="00495E96"/>
    <w:rsid w:val="004A027D"/>
    <w:rsid w:val="004B3B76"/>
    <w:rsid w:val="004D768C"/>
    <w:rsid w:val="004E09C2"/>
    <w:rsid w:val="004E2AC8"/>
    <w:rsid w:val="004E70EB"/>
    <w:rsid w:val="0050217F"/>
    <w:rsid w:val="00503B23"/>
    <w:rsid w:val="0053258D"/>
    <w:rsid w:val="00532837"/>
    <w:rsid w:val="0054609B"/>
    <w:rsid w:val="00556E48"/>
    <w:rsid w:val="005677B6"/>
    <w:rsid w:val="00577B2F"/>
    <w:rsid w:val="00577B35"/>
    <w:rsid w:val="005912BC"/>
    <w:rsid w:val="00592589"/>
    <w:rsid w:val="0059702F"/>
    <w:rsid w:val="005972AC"/>
    <w:rsid w:val="005B02D1"/>
    <w:rsid w:val="005B3287"/>
    <w:rsid w:val="005B46E3"/>
    <w:rsid w:val="005B4B1E"/>
    <w:rsid w:val="005B7528"/>
    <w:rsid w:val="005C33D0"/>
    <w:rsid w:val="005D7C7E"/>
    <w:rsid w:val="005E5287"/>
    <w:rsid w:val="005E7181"/>
    <w:rsid w:val="00602821"/>
    <w:rsid w:val="006245F1"/>
    <w:rsid w:val="00681C88"/>
    <w:rsid w:val="00693BAB"/>
    <w:rsid w:val="006951C9"/>
    <w:rsid w:val="006A5715"/>
    <w:rsid w:val="006B2884"/>
    <w:rsid w:val="006B5C8F"/>
    <w:rsid w:val="006C2539"/>
    <w:rsid w:val="006C3AA7"/>
    <w:rsid w:val="006C5FAE"/>
    <w:rsid w:val="006F131E"/>
    <w:rsid w:val="006F523D"/>
    <w:rsid w:val="006F5BC3"/>
    <w:rsid w:val="006F77C0"/>
    <w:rsid w:val="0070041B"/>
    <w:rsid w:val="007016F0"/>
    <w:rsid w:val="007144DA"/>
    <w:rsid w:val="00717229"/>
    <w:rsid w:val="007474D4"/>
    <w:rsid w:val="00757C80"/>
    <w:rsid w:val="00762535"/>
    <w:rsid w:val="00765D4C"/>
    <w:rsid w:val="00794C01"/>
    <w:rsid w:val="007B5FD5"/>
    <w:rsid w:val="007E1E8A"/>
    <w:rsid w:val="007F3A57"/>
    <w:rsid w:val="008058C1"/>
    <w:rsid w:val="008167A9"/>
    <w:rsid w:val="008440BB"/>
    <w:rsid w:val="0085172D"/>
    <w:rsid w:val="0085629C"/>
    <w:rsid w:val="00861C0B"/>
    <w:rsid w:val="00862EC3"/>
    <w:rsid w:val="00866ACD"/>
    <w:rsid w:val="00866CE6"/>
    <w:rsid w:val="00870E0A"/>
    <w:rsid w:val="008824AA"/>
    <w:rsid w:val="00886A16"/>
    <w:rsid w:val="008B246B"/>
    <w:rsid w:val="008B63B9"/>
    <w:rsid w:val="00920A02"/>
    <w:rsid w:val="00923BA6"/>
    <w:rsid w:val="00925FA7"/>
    <w:rsid w:val="00932126"/>
    <w:rsid w:val="009321C3"/>
    <w:rsid w:val="009352E4"/>
    <w:rsid w:val="00945B52"/>
    <w:rsid w:val="00963378"/>
    <w:rsid w:val="0096755E"/>
    <w:rsid w:val="00995DAB"/>
    <w:rsid w:val="009A766B"/>
    <w:rsid w:val="009B680F"/>
    <w:rsid w:val="009C68BF"/>
    <w:rsid w:val="009E47A6"/>
    <w:rsid w:val="009F1C27"/>
    <w:rsid w:val="009F4FFD"/>
    <w:rsid w:val="009F706F"/>
    <w:rsid w:val="00A0472D"/>
    <w:rsid w:val="00A12445"/>
    <w:rsid w:val="00A236E0"/>
    <w:rsid w:val="00A312A4"/>
    <w:rsid w:val="00A435C4"/>
    <w:rsid w:val="00A4457C"/>
    <w:rsid w:val="00A50137"/>
    <w:rsid w:val="00A671CB"/>
    <w:rsid w:val="00A86675"/>
    <w:rsid w:val="00AA5C1C"/>
    <w:rsid w:val="00AB501D"/>
    <w:rsid w:val="00AC547D"/>
    <w:rsid w:val="00AE2346"/>
    <w:rsid w:val="00AF5AE7"/>
    <w:rsid w:val="00B02761"/>
    <w:rsid w:val="00B06E0E"/>
    <w:rsid w:val="00B262C7"/>
    <w:rsid w:val="00B30300"/>
    <w:rsid w:val="00B710C1"/>
    <w:rsid w:val="00B7295B"/>
    <w:rsid w:val="00BA4D98"/>
    <w:rsid w:val="00BC31A2"/>
    <w:rsid w:val="00C037F7"/>
    <w:rsid w:val="00C117A4"/>
    <w:rsid w:val="00C275C6"/>
    <w:rsid w:val="00C3230E"/>
    <w:rsid w:val="00C34EDC"/>
    <w:rsid w:val="00C532E9"/>
    <w:rsid w:val="00C53365"/>
    <w:rsid w:val="00C6241B"/>
    <w:rsid w:val="00C71148"/>
    <w:rsid w:val="00C871D3"/>
    <w:rsid w:val="00C93192"/>
    <w:rsid w:val="00C95D93"/>
    <w:rsid w:val="00C95F60"/>
    <w:rsid w:val="00CA76EA"/>
    <w:rsid w:val="00CC1496"/>
    <w:rsid w:val="00CC2D6F"/>
    <w:rsid w:val="00CC4DBD"/>
    <w:rsid w:val="00CF234F"/>
    <w:rsid w:val="00D1398A"/>
    <w:rsid w:val="00D1413B"/>
    <w:rsid w:val="00D15669"/>
    <w:rsid w:val="00D21585"/>
    <w:rsid w:val="00D21601"/>
    <w:rsid w:val="00D22803"/>
    <w:rsid w:val="00D37EDA"/>
    <w:rsid w:val="00D55640"/>
    <w:rsid w:val="00D57061"/>
    <w:rsid w:val="00D876BB"/>
    <w:rsid w:val="00D919B7"/>
    <w:rsid w:val="00D937E4"/>
    <w:rsid w:val="00DA0422"/>
    <w:rsid w:val="00DB0C45"/>
    <w:rsid w:val="00DB281F"/>
    <w:rsid w:val="00DD1EE1"/>
    <w:rsid w:val="00DE3B5D"/>
    <w:rsid w:val="00DE712C"/>
    <w:rsid w:val="00DE72EA"/>
    <w:rsid w:val="00DF4E95"/>
    <w:rsid w:val="00DF7DE8"/>
    <w:rsid w:val="00E130D4"/>
    <w:rsid w:val="00E3180B"/>
    <w:rsid w:val="00E36797"/>
    <w:rsid w:val="00E56333"/>
    <w:rsid w:val="00E672DC"/>
    <w:rsid w:val="00E72D88"/>
    <w:rsid w:val="00E740F1"/>
    <w:rsid w:val="00E83156"/>
    <w:rsid w:val="00E83BE0"/>
    <w:rsid w:val="00E93C14"/>
    <w:rsid w:val="00EA3F4E"/>
    <w:rsid w:val="00EE65BA"/>
    <w:rsid w:val="00F058C7"/>
    <w:rsid w:val="00F22DA4"/>
    <w:rsid w:val="00F31C3A"/>
    <w:rsid w:val="00F468A5"/>
    <w:rsid w:val="00F51BFE"/>
    <w:rsid w:val="00FB767B"/>
    <w:rsid w:val="00FC5501"/>
    <w:rsid w:val="00FD03C2"/>
    <w:rsid w:val="00FE42C9"/>
    <w:rsid w:val="00FE7ABE"/>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2EBBA6"/>
  <w15:docId w15:val="{8BE24699-E357-4719-8160-345BC5A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468A5"/>
    <w:rPr>
      <w:rFonts w:cs="Times New Roman"/>
    </w:rPr>
  </w:style>
  <w:style w:type="paragraph" w:styleId="a4">
    <w:name w:val="header"/>
    <w:basedOn w:val="a"/>
    <w:link w:val="a5"/>
    <w:uiPriority w:val="99"/>
    <w:rsid w:val="00F4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8440BB"/>
    <w:rPr>
      <w:rFonts w:cs="Times New Roman"/>
      <w:sz w:val="18"/>
      <w:szCs w:val="18"/>
    </w:rPr>
  </w:style>
  <w:style w:type="paragraph" w:styleId="a6">
    <w:name w:val="footer"/>
    <w:basedOn w:val="a"/>
    <w:link w:val="a7"/>
    <w:uiPriority w:val="99"/>
    <w:rsid w:val="00F468A5"/>
    <w:pPr>
      <w:tabs>
        <w:tab w:val="center" w:pos="4153"/>
        <w:tab w:val="right" w:pos="8306"/>
      </w:tabs>
      <w:snapToGrid w:val="0"/>
      <w:jc w:val="left"/>
    </w:pPr>
    <w:rPr>
      <w:sz w:val="18"/>
      <w:szCs w:val="18"/>
    </w:rPr>
  </w:style>
  <w:style w:type="character" w:customStyle="1" w:styleId="a7">
    <w:name w:val="页脚 字符"/>
    <w:basedOn w:val="a0"/>
    <w:link w:val="a6"/>
    <w:uiPriority w:val="99"/>
    <w:locked/>
    <w:rsid w:val="008440BB"/>
    <w:rPr>
      <w:rFonts w:cs="Times New Roman"/>
      <w:sz w:val="18"/>
      <w:szCs w:val="18"/>
    </w:rPr>
  </w:style>
  <w:style w:type="paragraph" w:styleId="HTML">
    <w:name w:val="HTML Preformatted"/>
    <w:basedOn w:val="a"/>
    <w:link w:val="HTML0"/>
    <w:uiPriority w:val="99"/>
    <w:rsid w:val="00F46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basedOn w:val="a0"/>
    <w:link w:val="HTML"/>
    <w:uiPriority w:val="99"/>
    <w:semiHidden/>
    <w:locked/>
    <w:rsid w:val="008440BB"/>
    <w:rPr>
      <w:rFonts w:ascii="Courier New" w:hAnsi="Courier New" w:cs="Courier New"/>
      <w:sz w:val="20"/>
      <w:szCs w:val="20"/>
    </w:rPr>
  </w:style>
  <w:style w:type="paragraph" w:styleId="a8">
    <w:name w:val="Plain Text"/>
    <w:basedOn w:val="a"/>
    <w:link w:val="a9"/>
    <w:uiPriority w:val="99"/>
    <w:rsid w:val="00F468A5"/>
    <w:rPr>
      <w:rFonts w:ascii="宋体" w:hAnsi="Courier New"/>
      <w:szCs w:val="20"/>
    </w:rPr>
  </w:style>
  <w:style w:type="character" w:customStyle="1" w:styleId="a9">
    <w:name w:val="纯文本 字符"/>
    <w:basedOn w:val="a0"/>
    <w:link w:val="a8"/>
    <w:uiPriority w:val="99"/>
    <w:semiHidden/>
    <w:locked/>
    <w:rsid w:val="008440BB"/>
    <w:rPr>
      <w:rFonts w:ascii="宋体" w:hAnsi="Courier New" w:cs="Courier New"/>
      <w:sz w:val="21"/>
      <w:szCs w:val="21"/>
    </w:rPr>
  </w:style>
  <w:style w:type="paragraph" w:customStyle="1" w:styleId="1">
    <w:name w:val="列出段落1"/>
    <w:basedOn w:val="a"/>
    <w:uiPriority w:val="99"/>
    <w:rsid w:val="00F468A5"/>
    <w:pPr>
      <w:ind w:firstLineChars="200" w:firstLine="420"/>
    </w:pPr>
  </w:style>
  <w:style w:type="paragraph" w:styleId="aa">
    <w:name w:val="List Paragraph"/>
    <w:basedOn w:val="a"/>
    <w:uiPriority w:val="99"/>
    <w:qFormat/>
    <w:rsid w:val="00F468A5"/>
    <w:pPr>
      <w:ind w:firstLineChars="200" w:firstLine="420"/>
    </w:pPr>
  </w:style>
  <w:style w:type="paragraph" w:customStyle="1" w:styleId="p0">
    <w:name w:val="p0"/>
    <w:basedOn w:val="a"/>
    <w:uiPriority w:val="99"/>
    <w:rsid w:val="00F468A5"/>
    <w:pPr>
      <w:widowControl/>
    </w:pPr>
    <w:rPr>
      <w:kern w:val="0"/>
      <w:szCs w:val="21"/>
    </w:rPr>
  </w:style>
  <w:style w:type="paragraph" w:styleId="ab">
    <w:name w:val="Date"/>
    <w:basedOn w:val="a"/>
    <w:next w:val="a"/>
    <w:link w:val="ac"/>
    <w:uiPriority w:val="99"/>
    <w:rsid w:val="006F523D"/>
    <w:pPr>
      <w:ind w:leftChars="2500" w:left="100"/>
    </w:pPr>
  </w:style>
  <w:style w:type="character" w:customStyle="1" w:styleId="ac">
    <w:name w:val="日期 字符"/>
    <w:basedOn w:val="a0"/>
    <w:link w:val="ab"/>
    <w:uiPriority w:val="99"/>
    <w:semiHidden/>
    <w:locked/>
    <w:rsid w:val="008440BB"/>
    <w:rPr>
      <w:rFonts w:cs="Times New Roman"/>
      <w:sz w:val="24"/>
      <w:szCs w:val="24"/>
    </w:rPr>
  </w:style>
  <w:style w:type="paragraph" w:customStyle="1" w:styleId="CharChar1Char">
    <w:name w:val="Char Char1 Char"/>
    <w:basedOn w:val="a"/>
    <w:uiPriority w:val="99"/>
    <w:rsid w:val="00AB501D"/>
    <w:rPr>
      <w:szCs w:val="21"/>
    </w:rPr>
  </w:style>
  <w:style w:type="character" w:customStyle="1" w:styleId="ad">
    <w:name w:val="批注框文本 字符"/>
    <w:basedOn w:val="a0"/>
    <w:link w:val="ae"/>
    <w:uiPriority w:val="99"/>
    <w:semiHidden/>
    <w:locked/>
    <w:rsid w:val="00AB501D"/>
    <w:rPr>
      <w:rFonts w:cs="Times New Roman"/>
      <w:sz w:val="18"/>
      <w:szCs w:val="18"/>
    </w:rPr>
  </w:style>
  <w:style w:type="paragraph" w:styleId="ae">
    <w:name w:val="Balloon Text"/>
    <w:basedOn w:val="a"/>
    <w:link w:val="ad"/>
    <w:uiPriority w:val="99"/>
    <w:semiHidden/>
    <w:rsid w:val="00AB501D"/>
    <w:rPr>
      <w:sz w:val="18"/>
      <w:szCs w:val="18"/>
    </w:rPr>
  </w:style>
  <w:style w:type="character" w:customStyle="1" w:styleId="BalloonTextChar1">
    <w:name w:val="Balloon Text Char1"/>
    <w:basedOn w:val="a0"/>
    <w:uiPriority w:val="99"/>
    <w:semiHidden/>
    <w:rsid w:val="0071558A"/>
    <w:rPr>
      <w:sz w:val="0"/>
      <w:szCs w:val="0"/>
    </w:rPr>
  </w:style>
  <w:style w:type="character" w:customStyle="1" w:styleId="Char1">
    <w:name w:val="批注框文本 Char1"/>
    <w:basedOn w:val="a0"/>
    <w:uiPriority w:val="99"/>
    <w:semiHidden/>
    <w:locked/>
    <w:rsid w:val="00AB501D"/>
    <w:rPr>
      <w:rFonts w:cs="Times New Roman"/>
      <w:sz w:val="18"/>
      <w:szCs w:val="18"/>
    </w:rPr>
  </w:style>
  <w:style w:type="character" w:styleId="af">
    <w:name w:val="Hyperlink"/>
    <w:basedOn w:val="a0"/>
    <w:uiPriority w:val="99"/>
    <w:semiHidden/>
    <w:unhideWhenUsed/>
    <w:rsid w:val="006B5C8F"/>
    <w:rPr>
      <w:color w:val="0563C1"/>
      <w:u w:val="single"/>
    </w:rPr>
  </w:style>
  <w:style w:type="character" w:styleId="af0">
    <w:name w:val="FollowedHyperlink"/>
    <w:basedOn w:val="a0"/>
    <w:uiPriority w:val="99"/>
    <w:semiHidden/>
    <w:unhideWhenUsed/>
    <w:rsid w:val="006B5C8F"/>
    <w:rPr>
      <w:color w:val="954F72"/>
      <w:u w:val="single"/>
    </w:rPr>
  </w:style>
  <w:style w:type="paragraph" w:customStyle="1" w:styleId="font5">
    <w:name w:val="font5"/>
    <w:basedOn w:val="a"/>
    <w:rsid w:val="006B5C8F"/>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6B5C8F"/>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rsid w:val="006B5C8F"/>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8">
    <w:name w:val="font8"/>
    <w:basedOn w:val="a"/>
    <w:rsid w:val="006B5C8F"/>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xl63">
    <w:name w:val="xl63"/>
    <w:basedOn w:val="a"/>
    <w:rsid w:val="006B5C8F"/>
    <w:pPr>
      <w:widowControl/>
      <w:spacing w:before="100" w:beforeAutospacing="1" w:after="100" w:afterAutospacing="1"/>
      <w:jc w:val="center"/>
    </w:pPr>
    <w:rPr>
      <w:rFonts w:ascii="宋体" w:hAnsi="宋体" w:cs="宋体"/>
      <w:kern w:val="0"/>
      <w:sz w:val="24"/>
    </w:rPr>
  </w:style>
  <w:style w:type="paragraph" w:customStyle="1" w:styleId="xl64">
    <w:name w:val="xl64"/>
    <w:basedOn w:val="a"/>
    <w:rsid w:val="006B5C8F"/>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6B5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66">
    <w:name w:val="xl66"/>
    <w:basedOn w:val="a"/>
    <w:rsid w:val="006B5C8F"/>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6B5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8">
    <w:name w:val="xl68"/>
    <w:basedOn w:val="a"/>
    <w:rsid w:val="006B5C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69">
    <w:name w:val="xl69"/>
    <w:basedOn w:val="a"/>
    <w:rsid w:val="006B5C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
    <w:rsid w:val="006B5C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4"/>
    </w:rPr>
  </w:style>
  <w:style w:type="paragraph" w:customStyle="1" w:styleId="xl71">
    <w:name w:val="xl71"/>
    <w:basedOn w:val="a"/>
    <w:rsid w:val="006B5C8F"/>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6B5C8F"/>
    <w:pPr>
      <w:widowControl/>
      <w:pBdr>
        <w:top w:val="single" w:sz="4" w:space="0" w:color="auto"/>
        <w:left w:val="single" w:sz="4" w:space="0" w:color="auto"/>
        <w:right w:val="single" w:sz="4" w:space="0" w:color="auto"/>
      </w:pBdr>
      <w:spacing w:before="100" w:beforeAutospacing="1" w:after="100" w:afterAutospacing="1"/>
      <w:jc w:val="left"/>
    </w:pPr>
    <w:rPr>
      <w:rFonts w:ascii="黑体" w:eastAsia="黑体" w:hAnsi="黑体" w:cs="宋体"/>
      <w:kern w:val="0"/>
      <w:sz w:val="24"/>
    </w:rPr>
  </w:style>
  <w:style w:type="paragraph" w:customStyle="1" w:styleId="xl73">
    <w:name w:val="xl73"/>
    <w:basedOn w:val="a"/>
    <w:rsid w:val="006B5C8F"/>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4">
    <w:name w:val="xl74"/>
    <w:basedOn w:val="a"/>
    <w:rsid w:val="006B5C8F"/>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5">
    <w:name w:val="xl75"/>
    <w:basedOn w:val="a"/>
    <w:rsid w:val="006B5C8F"/>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6">
    <w:name w:val="xl76"/>
    <w:basedOn w:val="a"/>
    <w:rsid w:val="006B5C8F"/>
    <w:pPr>
      <w:widowControl/>
      <w:pBdr>
        <w:top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7">
    <w:name w:val="xl77"/>
    <w:basedOn w:val="a"/>
    <w:rsid w:val="006B5C8F"/>
    <w:pPr>
      <w:widowControl/>
      <w:spacing w:before="100" w:beforeAutospacing="1" w:after="100" w:afterAutospacing="1"/>
      <w:jc w:val="left"/>
    </w:pPr>
    <w:rPr>
      <w:rFonts w:ascii="黑体" w:eastAsia="黑体" w:hAnsi="黑体" w:cs="宋体"/>
      <w:kern w:val="0"/>
      <w:sz w:val="32"/>
      <w:szCs w:val="32"/>
    </w:rPr>
  </w:style>
  <w:style w:type="paragraph" w:customStyle="1" w:styleId="xl78">
    <w:name w:val="xl78"/>
    <w:basedOn w:val="a"/>
    <w:rsid w:val="006B5C8F"/>
    <w:pPr>
      <w:widowControl/>
      <w:shd w:val="clear" w:color="000000" w:fill="FFFFFF"/>
      <w:spacing w:before="100" w:beforeAutospacing="1" w:after="100" w:afterAutospacing="1"/>
      <w:jc w:val="center"/>
    </w:pPr>
    <w:rPr>
      <w:rFonts w:ascii="小标宋" w:eastAsia="小标宋" w:hAnsi="宋体" w:cs="宋体"/>
      <w:kern w:val="0"/>
      <w:sz w:val="48"/>
      <w:szCs w:val="48"/>
    </w:rPr>
  </w:style>
  <w:style w:type="paragraph" w:customStyle="1" w:styleId="xl79">
    <w:name w:val="xl79"/>
    <w:basedOn w:val="a"/>
    <w:rsid w:val="006B5C8F"/>
    <w:pPr>
      <w:widowControl/>
      <w:shd w:val="clear" w:color="000000" w:fill="FFFFFF"/>
      <w:spacing w:before="100" w:beforeAutospacing="1" w:after="100" w:afterAutospacing="1"/>
      <w:jc w:val="left"/>
    </w:pPr>
    <w:rPr>
      <w:rFonts w:ascii="小标宋" w:eastAsia="小标宋" w:hAnsi="宋体" w:cs="宋体"/>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438">
      <w:bodyDiv w:val="1"/>
      <w:marLeft w:val="0"/>
      <w:marRight w:val="0"/>
      <w:marTop w:val="0"/>
      <w:marBottom w:val="0"/>
      <w:divBdr>
        <w:top w:val="none" w:sz="0" w:space="0" w:color="auto"/>
        <w:left w:val="none" w:sz="0" w:space="0" w:color="auto"/>
        <w:bottom w:val="none" w:sz="0" w:space="0" w:color="auto"/>
        <w:right w:val="none" w:sz="0" w:space="0" w:color="auto"/>
      </w:divBdr>
    </w:div>
    <w:div w:id="1548294986">
      <w:marLeft w:val="0"/>
      <w:marRight w:val="0"/>
      <w:marTop w:val="0"/>
      <w:marBottom w:val="0"/>
      <w:divBdr>
        <w:top w:val="none" w:sz="0" w:space="0" w:color="auto"/>
        <w:left w:val="none" w:sz="0" w:space="0" w:color="auto"/>
        <w:bottom w:val="none" w:sz="0" w:space="0" w:color="auto"/>
        <w:right w:val="none" w:sz="0" w:space="0" w:color="auto"/>
      </w:divBdr>
    </w:div>
    <w:div w:id="1548294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34</Pages>
  <Words>2495</Words>
  <Characters>14227</Characters>
  <Application>Microsoft Office Word</Application>
  <DocSecurity>0</DocSecurity>
  <Lines>118</Lines>
  <Paragraphs>33</Paragraphs>
  <ScaleCrop>false</ScaleCrop>
  <Company>四川华瞳文化传播有限公司</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23</cp:revision>
  <cp:lastPrinted>2021-03-11T09:08:00Z</cp:lastPrinted>
  <dcterms:created xsi:type="dcterms:W3CDTF">2021-03-03T01:30:00Z</dcterms:created>
  <dcterms:modified xsi:type="dcterms:W3CDTF">2021-04-25T09:58:00Z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