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1F" w:rsidRDefault="0063651F" w:rsidP="007936AD">
      <w:pPr>
        <w:pStyle w:val="af"/>
        <w:widowControl w:val="0"/>
        <w:shd w:val="clear" w:color="auto" w:fill="FFFFFF"/>
        <w:adjustRightInd w:val="0"/>
        <w:snapToGrid w:val="0"/>
        <w:spacing w:line="570" w:lineRule="exact"/>
        <w:jc w:val="center"/>
        <w:rPr>
          <w:rFonts w:ascii="方正小标宋简体" w:eastAsia="方正小标宋简体" w:hAnsi="仿宋_GB2312" w:cs="仿宋_GB2312"/>
          <w:sz w:val="44"/>
          <w:szCs w:val="44"/>
          <w:shd w:val="clear" w:color="auto" w:fill="FFFFFF"/>
        </w:rPr>
      </w:pPr>
      <w:r w:rsidRPr="006B1DA6">
        <w:rPr>
          <w:rFonts w:ascii="方正小标宋简体" w:eastAsia="方正小标宋简体" w:hAnsi="仿宋_GB2312" w:cs="仿宋_GB2312" w:hint="eastAsia"/>
          <w:sz w:val="44"/>
          <w:szCs w:val="44"/>
          <w:shd w:val="clear" w:color="auto" w:fill="FFFFFF"/>
        </w:rPr>
        <w:t>四川省法治卫生建设实施方案</w:t>
      </w:r>
    </w:p>
    <w:p w:rsidR="0063651F" w:rsidRPr="006B1DA6" w:rsidRDefault="0063651F" w:rsidP="007936AD">
      <w:pPr>
        <w:pStyle w:val="af"/>
        <w:widowControl w:val="0"/>
        <w:shd w:val="clear" w:color="auto" w:fill="FFFFFF"/>
        <w:adjustRightInd w:val="0"/>
        <w:snapToGrid w:val="0"/>
        <w:spacing w:line="570" w:lineRule="exact"/>
        <w:jc w:val="center"/>
        <w:rPr>
          <w:rFonts w:ascii="方正小标宋简体" w:eastAsia="方正小标宋简体" w:hAnsi="仿宋_GB2312" w:cs="仿宋_GB2312"/>
          <w:sz w:val="44"/>
          <w:szCs w:val="44"/>
          <w:shd w:val="clear" w:color="auto" w:fill="FFFFFF"/>
        </w:rPr>
      </w:pPr>
      <w:r w:rsidRPr="006B1DA6">
        <w:rPr>
          <w:rFonts w:ascii="方正小标宋简体" w:eastAsia="方正小标宋简体" w:hAnsi="仿宋_GB2312" w:cs="仿宋_GB2312" w:hint="eastAsia"/>
          <w:sz w:val="44"/>
          <w:szCs w:val="44"/>
          <w:shd w:val="clear" w:color="auto" w:fill="FFFFFF"/>
        </w:rPr>
        <w:t>（2022-2025年）</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为持续深入推进依法行政，确保如期完成法治政府建设各项工作任务，根据中共四川省委、四川省人民政府印发的《四川省法治政府建设实施方案（2021-2025年）》（川委发〔2021〕23号）《中共四川省委关于印发&lt;四川省法治社会建设实施方案（2021-2025年）&gt;的通知》（川委发〔2021〕18号）等要求，结合卫生健康工作实际，制定本方案。</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黑体" w:eastAsia="黑体" w:hAnsi="黑体" w:cs="仿宋_GB2312"/>
          <w:sz w:val="32"/>
          <w:szCs w:val="32"/>
          <w:shd w:val="clear" w:color="auto" w:fill="FFFFFF"/>
        </w:rPr>
      </w:pPr>
      <w:r w:rsidRPr="006B1DA6">
        <w:rPr>
          <w:rFonts w:ascii="黑体" w:eastAsia="黑体" w:hAnsi="黑体" w:cs="仿宋_GB2312" w:hint="eastAsia"/>
          <w:sz w:val="32"/>
          <w:szCs w:val="32"/>
          <w:shd w:val="clear" w:color="auto" w:fill="FFFFFF"/>
        </w:rPr>
        <w:t>一、总体要求</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以习近平新时代中国特色社会主义思想为指导，全面贯彻党的二十大精神，深入贯彻习近平法治思想，增强“四个意识”、坚定“四个自信”、做到“两个维护”，加快构建职责明确、依法行政的政府治理体系，全面建设职能科学、权责法定、执法严明、公开公正、智能高效、廉洁诚信、人民满意的法治政府，为贯彻落实健康中国战略,加快实施健康四川行动,推动卫生健康高质量发展，全方位全周期保障人民健康,提供有力的法治保障。到2025年，行政行为全面纳入法治轨道，突发事件应对能力显著增强，人民健康水平不断提升。</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黑体" w:eastAsia="黑体" w:hAnsi="黑体" w:cs="仿宋_GB2312"/>
          <w:sz w:val="32"/>
          <w:szCs w:val="32"/>
          <w:shd w:val="clear" w:color="auto" w:fill="FFFFFF"/>
        </w:rPr>
      </w:pPr>
      <w:r w:rsidRPr="006B1DA6">
        <w:rPr>
          <w:rFonts w:ascii="黑体" w:eastAsia="黑体" w:hAnsi="黑体" w:cs="仿宋_GB2312" w:hint="eastAsia"/>
          <w:sz w:val="32"/>
          <w:szCs w:val="32"/>
          <w:shd w:val="clear" w:color="auto" w:fill="FFFFFF"/>
        </w:rPr>
        <w:t>二、工作任务</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楷体_GB2312" w:eastAsia="楷体_GB2312" w:hAnsi="仿宋_GB2312" w:cs="仿宋_GB2312"/>
          <w:sz w:val="32"/>
          <w:szCs w:val="32"/>
          <w:shd w:val="clear" w:color="auto" w:fill="FFFFFF"/>
        </w:rPr>
      </w:pPr>
      <w:r w:rsidRPr="006B1DA6">
        <w:rPr>
          <w:rFonts w:ascii="楷体_GB2312" w:eastAsia="楷体_GB2312" w:hAnsi="仿宋_GB2312" w:cs="仿宋_GB2312" w:hint="eastAsia"/>
          <w:sz w:val="32"/>
          <w:szCs w:val="32"/>
          <w:shd w:val="clear" w:color="auto" w:fill="FFFFFF"/>
        </w:rPr>
        <w:t>（一）健全卫生健康地方法规制度体系</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1.完善卫生健康立法和规范性文件制定工作制度和工作机</w:t>
      </w:r>
      <w:r w:rsidRPr="006B1DA6">
        <w:rPr>
          <w:rFonts w:ascii="仿宋_GB2312" w:eastAsia="仿宋_GB2312" w:hAnsi="仿宋_GB2312" w:cs="仿宋_GB2312" w:hint="eastAsia"/>
          <w:sz w:val="32"/>
          <w:szCs w:val="32"/>
          <w:shd w:val="clear" w:color="auto" w:fill="FFFFFF"/>
        </w:rPr>
        <w:lastRenderedPageBreak/>
        <w:t>制。按照《立法法》和《四川省人民政府拟定地方性法规草案和制定规章程序规定》进一步完善卫生健康部门立法工作机制，加强与省政府和省人大的协调沟通，提高立法质量。同时，按照立法程序推进公共卫生、医疗管理、医疗纠纷预防处置等重点领域地方性法规规章的制修订,加强配套制度建设,努力构建完备的卫生健康地方法规和制度体系。</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2.加强行政规范性文件制定管理。进一步完善行政规范性文件管理工作制度，按照《四川省行政规范性文件管理办法》的规定，制定我委的实施细则。凡法律法规规章和上级文件已作出明确规定，或现行文件已有部署且仍然适用的，一律不发行政规范性文件。加强合法性审核，对规范性文件制定主体、权限、程序和内容等方面从严把关。完善合法性审核专家协审机制，提升审核工作质效。按照规定程序和时限报送规范性文件备案，努力实现报备率、及时率、规范率达100%。建立健全动态清理工作机制，及时清理规范性文件，落实行政规范性文件有效期制度，有效期满后需继续执行的，按程序重新发布。</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3.加强医疗卫生标准宣传贯彻。持续推动成立四川省卫生健康标准化技术委员会，健全卫生工作推进机制。加强卫生健康标准的制修订、宣贯培训和实施评估，鼓励引导卫生健康领域社会组织和市场主体积极参与卫生健康标准化工作。加强川渝卫生健康标准工作的交流互鉴，提升全省卫生健康标准化建设质量和效率。</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楷体_GB2312" w:eastAsia="楷体_GB2312" w:hAnsi="仿宋_GB2312" w:cs="仿宋_GB2312"/>
          <w:sz w:val="32"/>
          <w:szCs w:val="32"/>
          <w:shd w:val="clear" w:color="auto" w:fill="FFFFFF"/>
        </w:rPr>
      </w:pPr>
      <w:r w:rsidRPr="006B1DA6">
        <w:rPr>
          <w:rFonts w:ascii="楷体_GB2312" w:eastAsia="楷体_GB2312" w:hAnsi="仿宋_GB2312" w:cs="仿宋_GB2312" w:hint="eastAsia"/>
          <w:sz w:val="32"/>
          <w:szCs w:val="32"/>
          <w:shd w:val="clear" w:color="auto" w:fill="FFFFFF"/>
        </w:rPr>
        <w:lastRenderedPageBreak/>
        <w:t>（二）健全法治实施体系</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4.深化权责清单管理。全面落实《四川省权责清单管理办法》，依法完善、动态调整、持续优化卫生健康系统权责清单，加快推进权力清单、责任清单“两单”融合，并全面在全省一体化政务服务平台运行。</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5.精简规范行政许可。进一步精简行政许可事项，全面实施市场准入负面清单制度，普遍落实“非禁即入”。严格控制新设行政许可，坚决防止以备案、登记、行政确认、征求意见等方式变相设置行政许可事项。</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6.深化“证照分离”改革。按照直接取消审批、审批改为备案、实行告知承诺、优化审批服务等方式，分类推进“证照分离”改革。</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7.全面落实告知承诺制。推行涉企经营许可事项告知承诺制，按照最大限度利民便民原则，明确告知承诺制的事项范围、适用对象、办理流程和监管措施。持续做好证明事项清理工作，动态更新证明事项清单，防止证明事项边减边增、明减暗增。</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8.加快推进“最多跑一次”改革。围绕“一网通办”优化再造政务服务事项服务流程，编制“出生一件事”、“开办医院一件事”等2个“一件事”办事指南，并在一体化平台上完成相关配置提高网上申报率。按照应接尽接原则，全面完成省直部门自建业务系统与省一体化政务服务平台深度对接。</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9.有序推进政务通办。加快推进“省内通办”和“跨省通办”，</w:t>
      </w:r>
      <w:r w:rsidRPr="006B1DA6">
        <w:rPr>
          <w:rFonts w:ascii="仿宋_GB2312" w:eastAsia="仿宋_GB2312" w:hAnsi="仿宋_GB2312" w:cs="仿宋_GB2312" w:hint="eastAsia"/>
          <w:sz w:val="32"/>
          <w:szCs w:val="32"/>
          <w:shd w:val="clear" w:color="auto" w:fill="FFFFFF"/>
        </w:rPr>
        <w:lastRenderedPageBreak/>
        <w:t>编制发布高频服务事项清单，统一业务规则和标准，开展线上“全程网办”，实现同一事项在不同地区无差别受理、同标准办理，满足各类市场主体和广大人民群众异地办事需求。</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10.推进适老化政务服务。坚持传统服务与智能创新相结合，围绕老年人就医等高频事项和服务场景，提供多渠道挂号服务，优化服务流程，健全老年人就医绿色通道，设置必要的人工服务窗口，为老年人提供方便及时的医疗服务。</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11.全面落实公平竞争审查制度。维护公平竞争市场秩序。推进公平竞争审查与合法性审核有效衔接，及时清理废除妨碍统一市场和公平竞争的各种规定和做法，打破各类“隐性门槛”。</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12.依法保护企业合法权益。深入实施《优化营商环境条例》《四川省优化营商环境条例》《四川省企业和企业经营者权益保护条例》，依法平等保护各种所有制企业产权和自主经营权。加强政企沟通，在制定修改政府规章、行政规范性文件过程中充分听取企业和行业协会商会意见。</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楷体_GB2312" w:eastAsia="楷体_GB2312" w:hAnsi="仿宋_GB2312" w:cs="仿宋_GB2312"/>
          <w:sz w:val="32"/>
          <w:szCs w:val="32"/>
          <w:shd w:val="clear" w:color="auto" w:fill="FFFFFF"/>
        </w:rPr>
      </w:pPr>
      <w:r w:rsidRPr="006B1DA6">
        <w:rPr>
          <w:rFonts w:ascii="楷体_GB2312" w:eastAsia="楷体_GB2312" w:hAnsi="仿宋_GB2312" w:cs="仿宋_GB2312" w:hint="eastAsia"/>
          <w:sz w:val="32"/>
          <w:szCs w:val="32"/>
          <w:shd w:val="clear" w:color="auto" w:fill="FFFFFF"/>
        </w:rPr>
        <w:t>（三）健全行政决策制度体系</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13.强化依法决策意识。贯彻落实“三重一大”事项集体决策制度，严格遵循法定权限和程序作出决策。严格履行重大行政决策合法性审查程序。健全重大行政决策合法性审查机制，不得以征求意见等方式代替合法性审查。提升法律顾问参与度，发挥法律顾问在重大行政决策中的法律咨询作用。</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14.充分听取各方意见。涉及社会公众切身利益的重要规划、</w:t>
      </w:r>
      <w:r w:rsidRPr="006B1DA6">
        <w:rPr>
          <w:rFonts w:ascii="仿宋_GB2312" w:eastAsia="仿宋_GB2312" w:hAnsi="仿宋_GB2312" w:cs="仿宋_GB2312" w:hint="eastAsia"/>
          <w:sz w:val="32"/>
          <w:szCs w:val="32"/>
          <w:shd w:val="clear" w:color="auto" w:fill="FFFFFF"/>
        </w:rPr>
        <w:lastRenderedPageBreak/>
        <w:t>重大公共政策和措施、重大公共建设项目等，应当通过举办听证会等形式加大公众参与力度，认真听取涉及利益关系群体的意见建议。建立健全重大行政决策咨询专家库，对专业性、技术性较强的决策事项，应当组织专家论证。深入开展社会稳定、公共安全等方面的风险评估，对决策实施的风险进行科学预测、综合研判。</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15.加强决策事项目录化案卷化管理。推行重大行政决策事项年度目录公开制度，明确决策事项、法律政策依据、需履行的程序、承办处室、执行时间等。建立健全决策过程记录和材料归档制度，及时将决策过程和决策实施中的文件资料整理归档，实现决策全过程记录。</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16.完善行政决策执行机制。决策牵头处室应当在决策中明确执行主体、执行时限、执行反馈等内容，及时掌握执行进度、效果。重大行政决策一经作出，未经法定程序不得随意变更或停止执行。严格落实重大行政决策终身责任追究制度和责任倒查机制，促进依法决策、科学决策、民主决策。</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17.推进决策后评估工作。决策牵头处室应当依法组织开展决策后评估工作，提出继续执行、停止执行、暂缓执行或修改决策等建议。决策后评估结果作为调整重大行政决策的重要依据。</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楷体_GB2312" w:eastAsia="楷体_GB2312" w:hAnsi="仿宋_GB2312" w:cs="仿宋_GB2312"/>
          <w:sz w:val="32"/>
          <w:szCs w:val="32"/>
          <w:shd w:val="clear" w:color="auto" w:fill="FFFFFF"/>
        </w:rPr>
      </w:pPr>
      <w:r w:rsidRPr="006B1DA6">
        <w:rPr>
          <w:rFonts w:ascii="楷体_GB2312" w:eastAsia="楷体_GB2312" w:hAnsi="仿宋_GB2312" w:cs="仿宋_GB2312" w:hint="eastAsia"/>
          <w:sz w:val="32"/>
          <w:szCs w:val="32"/>
          <w:shd w:val="clear" w:color="auto" w:fill="FFFFFF"/>
        </w:rPr>
        <w:t>（四）强化卫生健康监督执法体系</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18.强化卫生监督“四化”建设。以卫生监督“法治化、标准化、规范化、信息化”建设为抓手，全面提升监督执法能力和</w:t>
      </w:r>
      <w:r w:rsidRPr="006B1DA6">
        <w:rPr>
          <w:rFonts w:ascii="仿宋_GB2312" w:eastAsia="仿宋_GB2312" w:hAnsi="仿宋_GB2312" w:cs="仿宋_GB2312" w:hint="eastAsia"/>
          <w:sz w:val="32"/>
          <w:szCs w:val="32"/>
          <w:shd w:val="clear" w:color="auto" w:fill="FFFFFF"/>
        </w:rPr>
        <w:lastRenderedPageBreak/>
        <w:t>水平。梳理卫生健康法律法规和行业标准，实现监督执法权责明晰、程序合法。完善卫生健康监督执法业务管理规范和监督机构管理制度，建立监督机构内控管理工作机制，提升全省监督机构业务能力和管理水平。依托“四川智慧卫监”平台，推广在线监管和智慧监管工作新机制，提升综合监管效能。</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19.健全卫生监督网络。健全医疗卫生行业综合监管协调机制。加强相关部门和地方各级协同联动，构建多元化的综合监管体系，增强综合监管合力。</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20.深入推进机构自查工作。开展医疗机构、采供血机构、学校卫生自查，推广职业卫生分类分级监督执法。</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21.持续加大卫生监督执法力度。加强传染病防控等重点领域监督执法，强化对医疗机构传染病防控工作的巡查监督。以问题为导向开展各类专项整治。强化“双随机、一公开”监管，积极开展部门联合“双随机”抽查，强化协同监管。</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22.纵深推进行政执法“三项制度”。深入贯彻实施行政处罚法及《四川省行政执法公示办法》《四川省行政执法全过程记录办法》《四川省重大行政执法决定法制审核办法》，强化宣传培训，健全相关配套制度。健全执法经费保障机制，保障行政执法机关依法履职所需的执法装备、经费等。</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23.规范行政执法人员管理，强化行政执法人员资格动态管理。加强行政执法人员培训，规范行政执法人员公示。</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24.规范行使行政裁量权。全面落实行政裁量权基准制度，</w:t>
      </w:r>
      <w:r w:rsidRPr="006B1DA6">
        <w:rPr>
          <w:rFonts w:ascii="仿宋_GB2312" w:eastAsia="仿宋_GB2312" w:hAnsi="仿宋_GB2312" w:cs="仿宋_GB2312" w:hint="eastAsia"/>
          <w:sz w:val="32"/>
          <w:szCs w:val="32"/>
          <w:shd w:val="clear" w:color="auto" w:fill="FFFFFF"/>
        </w:rPr>
        <w:lastRenderedPageBreak/>
        <w:t>动态调整各行政执法行为的行政裁量权基准并公开发布，不断细化量化裁量范围、种类、幅度等，最大限度压缩自由裁量空间，行政执法机关使用裁量权基准的，应当在行政决定中说明理由。</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25.有效落实行刑衔接。贯彻落实《行政执法机关移送涉嫌犯罪案件的规定》等有关制度，切实做好涉嫌犯罪案件移送工作，不得以行政处罚代替移送。对涉嫌犯罪案件主动移送率达100%。</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26.强化行政执法案例指导。对事实认定正确、法律适用准确、程序合法的典型案件，加强案例的定期发布、以案释法，进一步统一执法标准，提高规范公正文明执法的能力和水平。</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楷体_GB2312" w:eastAsia="楷体_GB2312" w:hAnsi="仿宋_GB2312" w:cs="仿宋_GB2312"/>
          <w:sz w:val="32"/>
          <w:szCs w:val="32"/>
          <w:shd w:val="clear" w:color="auto" w:fill="FFFFFF"/>
        </w:rPr>
      </w:pPr>
      <w:r w:rsidRPr="006B1DA6">
        <w:rPr>
          <w:rFonts w:ascii="楷体_GB2312" w:eastAsia="楷体_GB2312" w:hAnsi="仿宋_GB2312" w:cs="仿宋_GB2312" w:hint="eastAsia"/>
          <w:sz w:val="32"/>
          <w:szCs w:val="32"/>
          <w:shd w:val="clear" w:color="auto" w:fill="FFFFFF"/>
        </w:rPr>
        <w:t>（五）健全突发事件应对体系</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27.依法完善处置重大突发事件预案，健全应急响应机制。完善突发事件应对制度，建立健全全省公共卫生应急预案体系。进一步规范常态化疫情防控措施，加快构建系统完备、科学规范、运行有效的疫情防控制度体系。完善公共卫生应急举措的处置程序和协调机制，明确不同级别响应的启动标准和流程。完善突发事件信息发布制度。</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28.加大应急执法力度。对违反传染病防治法、《突发公共卫生事件应急条例》等法律法规的行为，切实加大行政执法力度。加强突发事件应急处置的普法宣传，引导全社会增强法治意识。</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29.健全矛盾纠纷多元预防调处化解综合机制。切实加强“三调”联动，贯彻落实《四川省纠纷多元化解条例》，完善行政调解与人民调解、司法调解相互衔接、协调联动的工作机制。依法</w:t>
      </w:r>
      <w:r w:rsidRPr="006B1DA6">
        <w:rPr>
          <w:rFonts w:ascii="仿宋_GB2312" w:eastAsia="仿宋_GB2312" w:hAnsi="仿宋_GB2312" w:cs="仿宋_GB2312" w:hint="eastAsia"/>
          <w:sz w:val="32"/>
          <w:szCs w:val="32"/>
          <w:shd w:val="clear" w:color="auto" w:fill="FFFFFF"/>
        </w:rPr>
        <w:lastRenderedPageBreak/>
        <w:t>严厉打击和惩治暴力伤害医务人员等违法犯罪活动。健全社会心理服务体系和危机干预机制。</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30.提升行政复议应诉工作质量。落实行政机关负责人出庭应诉制度，着力提升出庭应诉率，涉及重大公共利益、社会高度关注或可能引发群体性事件的案件，被诉行政机关负责人出庭应诉率达100%。切实履行行政复议决定。支持法院依法受理和审理行政案件，切实履行生效裁判。支持检察院开展行政诉讼监督工作和行政公益诉讼，积极主动履行职责或纠正违法行为。进一步完善司法建议、检察建议反馈跟踪机制，及时办复率达100%。提升行政应诉工作质效。定期组织庭审旁听、案件研讨、集中培训等活动，提高行政机关负责人、行政应诉人员的应诉能力。支持法院开展调解和协调工作，推动行政争议多元化解、实质化解。</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楷体_GB2312" w:eastAsia="楷体_GB2312" w:hAnsi="仿宋_GB2312" w:cs="仿宋_GB2312"/>
          <w:sz w:val="32"/>
          <w:szCs w:val="32"/>
          <w:shd w:val="clear" w:color="auto" w:fill="FFFFFF"/>
        </w:rPr>
      </w:pPr>
      <w:r w:rsidRPr="006B1DA6">
        <w:rPr>
          <w:rFonts w:ascii="楷体_GB2312" w:eastAsia="楷体_GB2312" w:hAnsi="仿宋_GB2312" w:cs="仿宋_GB2312" w:hint="eastAsia"/>
          <w:sz w:val="32"/>
          <w:szCs w:val="32"/>
          <w:shd w:val="clear" w:color="auto" w:fill="FFFFFF"/>
        </w:rPr>
        <w:t>（六）健全法制监督体系</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31.加强人大监督。认真听取人大代表建议，及时研究办理人大代表建议。配合人大开展法律法规实施情况检查，积极做好现行法律法规的事实和宣传工作。</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32.推进行政执法监督。贯彻落实《四川省行政执法监督条例》。创新行政执法监督方式，针对重点领域开展专项监督、案卷评查等活动，增强执法监督工作实效。全面落实行政执法责任，严格按照权责事项清单分解执法职权、确定执法责任。健全卫生行政执法责任制和责任追究制度,完善行政执法投诉举报和处理机制,探索建立容错纠错机制。</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lastRenderedPageBreak/>
        <w:t>33.深化政务公开。规范发布法定主动公开内容，做到法定主动公开内容全部公开到位。提高解读回应质量，坚持应解读、尽解读，探索政策“解读人”制度。进一步完善公开机制，加强队伍培养和平台建设。健全政府信息发布、审查、协调和动态管理等制度，确保信息的权威性、规范性和一致性。</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楷体_GB2312" w:eastAsia="楷体_GB2312" w:hAnsi="仿宋_GB2312" w:cs="仿宋_GB2312"/>
          <w:sz w:val="32"/>
          <w:szCs w:val="32"/>
          <w:shd w:val="clear" w:color="auto" w:fill="FFFFFF"/>
        </w:rPr>
      </w:pPr>
      <w:r w:rsidRPr="006B1DA6">
        <w:rPr>
          <w:rFonts w:ascii="楷体_GB2312" w:eastAsia="楷体_GB2312" w:hAnsi="仿宋_GB2312" w:cs="仿宋_GB2312" w:hint="eastAsia"/>
          <w:sz w:val="32"/>
          <w:szCs w:val="32"/>
          <w:shd w:val="clear" w:color="auto" w:fill="FFFFFF"/>
        </w:rPr>
        <w:t>（七）推进区域政策协同</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34.贯彻落实《成渝地区双城经济圈建设规划纲要》，进一步深化川渝两地卫生健康合作，推动国家战略在川渝省市卫生健康领域走深走实，共同梳理行业政策，对两地存在差异的政策，加快研究和修订，推进政策一体化，重点在疾病预防、信息化建设、适宜技术推广方面，统一标准、统一要求，让双方群众享有更多同质化医疗服务。</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35.加强医疗卫生行政执法川渝协同。全面围绕执法队伍建设、案件协查协办、投诉举报协作处理、执法信息互通共享等方面，加强区域执法协作，提升行政执法“同城”效应。</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36.推进政务服务便利共享。深化成渝地区双城经济圈“放管服”改革，探索将母婴保健服务人员资格认定、医师执业注册、护士执业注册、乡村医生执业注册、职业病诊断资格证书核发等政务服务事项纳入“川渝通办”事项清单；将医疗机构执业许可证、医生执业证书、护士执业证书等高频电子证照纳入“电子证照互认清单”运行管理。出台成渝地区证明事项告知承诺制目录。协同推进“证照分离”改革，探索建设成渝地区“无证明城市”。</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楷体_GB2312" w:eastAsia="楷体_GB2312" w:hAnsi="仿宋_GB2312" w:cs="仿宋_GB2312"/>
          <w:sz w:val="32"/>
          <w:szCs w:val="32"/>
          <w:shd w:val="clear" w:color="auto" w:fill="FFFFFF"/>
        </w:rPr>
      </w:pPr>
      <w:r w:rsidRPr="006B1DA6">
        <w:rPr>
          <w:rFonts w:ascii="楷体_GB2312" w:eastAsia="楷体_GB2312" w:hAnsi="仿宋_GB2312" w:cs="仿宋_GB2312" w:hint="eastAsia"/>
          <w:sz w:val="32"/>
          <w:szCs w:val="32"/>
          <w:shd w:val="clear" w:color="auto" w:fill="FFFFFF"/>
        </w:rPr>
        <w:lastRenderedPageBreak/>
        <w:t>（八）健全法治保障体系</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37.健全法治工作组织领导和工作推进机制,严格落实第一责任人职责，做到重要工作亲自部署、重大问题亲自过问、重点环节亲自协调、重要案件亲自督办。将履行推进法治政府建设第一责任人职责情况作为年终述职内容，作为领导干部年度考核的重要参考。</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38.严格执行年度报告制度。认真落实《法治政府建设与责任落实督查工作规定》按规定主动向省委省政府报告上一年度推进法治政府建设工作情况，并主动向社会公开。</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39.加强法制教育培训。健全党委（党组）中心组学法、领导干部会前学法、重大决策前专题学法制度。每年举办两次以上法制专题讲座。建立卫生健康行政机关工作人员应知应会法律法规清单，将法治教育培训纳入各级卫生健康部门工作人员初任培训、任职培训的必训内容。充分利用四川省国家工作人员学法考法平台开展线上学法。</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40.加强卫生健康法治工作队伍建设。建设革命化、正规化、专业化、职业化专门法治队伍，加强卫生健康法制机构建设，保障人员力量、经费等与其职责任务相适应。加强法律顾问和公职队伍建设，完善法律顾问制度，建立健全公职律师激励机制，为公职律师发挥作用创造条件、提供保障。</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t>41.加强理论研究。借助省法学会卫生法学研究会等智力优势，推动卫生健康法治建设理论研究向纵深发展。</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r w:rsidRPr="006B1DA6">
        <w:rPr>
          <w:rFonts w:ascii="仿宋_GB2312" w:eastAsia="仿宋_GB2312" w:hAnsi="仿宋_GB2312" w:cs="仿宋_GB2312" w:hint="eastAsia"/>
          <w:sz w:val="32"/>
          <w:szCs w:val="32"/>
          <w:shd w:val="clear" w:color="auto" w:fill="FFFFFF"/>
        </w:rPr>
        <w:lastRenderedPageBreak/>
        <w:t>42.加强法治宣传教育。落实“谁执法谁普法”普法责任制，制定并实施卫生健康“八五”普法规划,扎实推进“法律七进”，加大法治政府建设成就经验宣传力度，积极营造卫生健康系统依法行政、群众知法守法的良好法治氛围。</w:t>
      </w:r>
    </w:p>
    <w:p w:rsidR="0063651F" w:rsidRPr="006B1DA6" w:rsidRDefault="0063651F" w:rsidP="007936AD">
      <w:pPr>
        <w:pStyle w:val="af"/>
        <w:widowControl w:val="0"/>
        <w:shd w:val="clear" w:color="auto" w:fill="FFFFFF"/>
        <w:adjustRightInd w:val="0"/>
        <w:snapToGrid w:val="0"/>
        <w:spacing w:line="570" w:lineRule="exact"/>
        <w:ind w:firstLineChars="200" w:firstLine="640"/>
        <w:rPr>
          <w:rFonts w:ascii="仿宋_GB2312" w:eastAsia="仿宋_GB2312" w:hAnsi="仿宋_GB2312" w:cs="仿宋_GB2312"/>
          <w:sz w:val="32"/>
          <w:szCs w:val="32"/>
          <w:shd w:val="clear" w:color="auto" w:fill="FFFFFF"/>
        </w:rPr>
      </w:pPr>
      <w:bookmarkStart w:id="0" w:name="_GoBack"/>
      <w:bookmarkEnd w:id="0"/>
    </w:p>
    <w:sectPr w:rsidR="0063651F" w:rsidRPr="006B1DA6" w:rsidSect="006C77E9">
      <w:footerReference w:type="even" r:id="rId7"/>
      <w:footerReference w:type="default" r:id="rId8"/>
      <w:pgSz w:w="11906" w:h="16838" w:code="9"/>
      <w:pgMar w:top="2098" w:right="1474" w:bottom="1985" w:left="1588" w:header="851" w:footer="1588"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8EC" w:rsidRDefault="005678EC">
      <w:r>
        <w:separator/>
      </w:r>
    </w:p>
  </w:endnote>
  <w:endnote w:type="continuationSeparator" w:id="0">
    <w:p w:rsidR="005678EC" w:rsidRDefault="0056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仿宋简体">
    <w:altName w:val="微软雅黑"/>
    <w:charset w:val="86"/>
    <w:family w:val="auto"/>
    <w:pitch w:val="variable"/>
    <w:sig w:usb0="00000000"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AE" w:rsidRPr="00167E00" w:rsidRDefault="00771EAE" w:rsidP="00673C1F">
    <w:pPr>
      <w:pStyle w:val="a6"/>
      <w:ind w:right="360"/>
      <w:rPr>
        <w:rFonts w:asciiTheme="minorEastAsia" w:eastAsiaTheme="minorEastAsia" w:hAnsiTheme="minorEastAsia"/>
        <w:sz w:val="28"/>
        <w:szCs w:val="28"/>
      </w:rPr>
    </w:pPr>
    <w:r w:rsidRPr="00167E00">
      <w:rPr>
        <w:rFonts w:asciiTheme="minorEastAsia" w:eastAsiaTheme="minorEastAsia" w:hAnsiTheme="minorEastAsia"/>
        <w:sz w:val="28"/>
        <w:szCs w:val="28"/>
      </w:rPr>
      <w:t xml:space="preserve">— </w:t>
    </w:r>
    <w:r w:rsidR="00424EE3" w:rsidRPr="00167E00">
      <w:rPr>
        <w:rStyle w:val="a3"/>
        <w:rFonts w:asciiTheme="minorEastAsia" w:eastAsiaTheme="minorEastAsia" w:hAnsiTheme="minorEastAsia"/>
        <w:sz w:val="28"/>
        <w:szCs w:val="28"/>
      </w:rPr>
      <w:fldChar w:fldCharType="begin"/>
    </w:r>
    <w:r w:rsidRPr="00167E00">
      <w:rPr>
        <w:rStyle w:val="a3"/>
        <w:rFonts w:asciiTheme="minorEastAsia" w:eastAsiaTheme="minorEastAsia" w:hAnsiTheme="minorEastAsia"/>
        <w:sz w:val="28"/>
        <w:szCs w:val="28"/>
      </w:rPr>
      <w:instrText xml:space="preserve"> PAGE </w:instrText>
    </w:r>
    <w:r w:rsidR="00424EE3" w:rsidRPr="00167E00">
      <w:rPr>
        <w:rStyle w:val="a3"/>
        <w:rFonts w:asciiTheme="minorEastAsia" w:eastAsiaTheme="minorEastAsia" w:hAnsiTheme="minorEastAsia"/>
        <w:sz w:val="28"/>
        <w:szCs w:val="28"/>
      </w:rPr>
      <w:fldChar w:fldCharType="separate"/>
    </w:r>
    <w:r w:rsidR="0040581A">
      <w:rPr>
        <w:rStyle w:val="a3"/>
        <w:rFonts w:asciiTheme="minorEastAsia" w:eastAsiaTheme="minorEastAsia" w:hAnsiTheme="minorEastAsia"/>
        <w:noProof/>
        <w:sz w:val="28"/>
        <w:szCs w:val="28"/>
      </w:rPr>
      <w:t>10</w:t>
    </w:r>
    <w:r w:rsidR="00424EE3" w:rsidRPr="00167E00">
      <w:rPr>
        <w:rStyle w:val="a3"/>
        <w:rFonts w:asciiTheme="minorEastAsia" w:eastAsiaTheme="minorEastAsia" w:hAnsiTheme="minorEastAsia"/>
        <w:sz w:val="28"/>
        <w:szCs w:val="28"/>
      </w:rPr>
      <w:fldChar w:fldCharType="end"/>
    </w:r>
    <w:r w:rsidRPr="00167E00">
      <w:rPr>
        <w:rStyle w:val="a3"/>
        <w:rFonts w:asciiTheme="minorEastAsia" w:eastAsiaTheme="minorEastAsia" w:hAnsiTheme="minorEastAsia"/>
        <w:sz w:val="28"/>
        <w:szCs w:val="28"/>
      </w:rPr>
      <w:t xml:space="preserve"> </w:t>
    </w:r>
    <w:r w:rsidRPr="00167E00">
      <w:rPr>
        <w:rFonts w:asciiTheme="minorEastAsia" w:eastAsiaTheme="minorEastAsia" w:hAnsiTheme="minor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C1F" w:rsidRPr="00167E00" w:rsidRDefault="00673C1F" w:rsidP="00673C1F">
    <w:pPr>
      <w:pStyle w:val="a6"/>
      <w:jc w:val="right"/>
      <w:rPr>
        <w:rFonts w:asciiTheme="majorEastAsia" w:eastAsiaTheme="majorEastAsia" w:hAnsiTheme="majorEastAsia"/>
      </w:rPr>
    </w:pPr>
    <w:r w:rsidRPr="00167E00">
      <w:rPr>
        <w:rFonts w:asciiTheme="majorEastAsia" w:eastAsiaTheme="majorEastAsia" w:hAnsiTheme="majorEastAsia"/>
        <w:sz w:val="28"/>
        <w:szCs w:val="28"/>
      </w:rPr>
      <w:t xml:space="preserve">— </w:t>
    </w:r>
    <w:r w:rsidR="00424EE3" w:rsidRPr="00167E00">
      <w:rPr>
        <w:rStyle w:val="a3"/>
        <w:rFonts w:asciiTheme="majorEastAsia" w:eastAsiaTheme="majorEastAsia" w:hAnsiTheme="majorEastAsia"/>
        <w:sz w:val="28"/>
        <w:szCs w:val="28"/>
      </w:rPr>
      <w:fldChar w:fldCharType="begin"/>
    </w:r>
    <w:r w:rsidRPr="00167E00">
      <w:rPr>
        <w:rStyle w:val="a3"/>
        <w:rFonts w:asciiTheme="majorEastAsia" w:eastAsiaTheme="majorEastAsia" w:hAnsiTheme="majorEastAsia"/>
        <w:sz w:val="28"/>
        <w:szCs w:val="28"/>
      </w:rPr>
      <w:instrText xml:space="preserve"> PAGE </w:instrText>
    </w:r>
    <w:r w:rsidR="00424EE3" w:rsidRPr="00167E00">
      <w:rPr>
        <w:rStyle w:val="a3"/>
        <w:rFonts w:asciiTheme="majorEastAsia" w:eastAsiaTheme="majorEastAsia" w:hAnsiTheme="majorEastAsia"/>
        <w:sz w:val="28"/>
        <w:szCs w:val="28"/>
      </w:rPr>
      <w:fldChar w:fldCharType="separate"/>
    </w:r>
    <w:r w:rsidR="0040581A">
      <w:rPr>
        <w:rStyle w:val="a3"/>
        <w:rFonts w:asciiTheme="majorEastAsia" w:eastAsiaTheme="majorEastAsia" w:hAnsiTheme="majorEastAsia"/>
        <w:noProof/>
        <w:sz w:val="28"/>
        <w:szCs w:val="28"/>
      </w:rPr>
      <w:t>11</w:t>
    </w:r>
    <w:r w:rsidR="00424EE3" w:rsidRPr="00167E00">
      <w:rPr>
        <w:rStyle w:val="a3"/>
        <w:rFonts w:asciiTheme="majorEastAsia" w:eastAsiaTheme="majorEastAsia" w:hAnsiTheme="majorEastAsia"/>
        <w:sz w:val="28"/>
        <w:szCs w:val="28"/>
      </w:rPr>
      <w:fldChar w:fldCharType="end"/>
    </w:r>
    <w:r w:rsidRPr="00167E00">
      <w:rPr>
        <w:rStyle w:val="a3"/>
        <w:rFonts w:asciiTheme="majorEastAsia" w:eastAsiaTheme="majorEastAsia" w:hAnsiTheme="majorEastAsia"/>
        <w:sz w:val="28"/>
        <w:szCs w:val="28"/>
      </w:rPr>
      <w:t xml:space="preserve"> </w:t>
    </w:r>
    <w:r w:rsidRPr="00167E00">
      <w:rPr>
        <w:rFonts w:asciiTheme="majorEastAsia" w:eastAsiaTheme="majorEastAsia" w:hAnsiTheme="major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8EC" w:rsidRDefault="005678EC">
      <w:r>
        <w:separator/>
      </w:r>
    </w:p>
  </w:footnote>
  <w:footnote w:type="continuationSeparator" w:id="0">
    <w:p w:rsidR="005678EC" w:rsidRDefault="00567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japaneseCounting"/>
      <w:lvlText w:val="%1、"/>
      <w:lvlJc w:val="left"/>
      <w:pPr>
        <w:ind w:left="450" w:hanging="45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348F"/>
    <w:rsid w:val="00050E39"/>
    <w:rsid w:val="00056C68"/>
    <w:rsid w:val="00065C09"/>
    <w:rsid w:val="0007331C"/>
    <w:rsid w:val="00077346"/>
    <w:rsid w:val="00080561"/>
    <w:rsid w:val="000877B8"/>
    <w:rsid w:val="000E15CD"/>
    <w:rsid w:val="000E1BA9"/>
    <w:rsid w:val="00123771"/>
    <w:rsid w:val="00146B7E"/>
    <w:rsid w:val="00155E03"/>
    <w:rsid w:val="00157F19"/>
    <w:rsid w:val="00161437"/>
    <w:rsid w:val="00162DA0"/>
    <w:rsid w:val="00167E00"/>
    <w:rsid w:val="00172A27"/>
    <w:rsid w:val="001857B2"/>
    <w:rsid w:val="00195026"/>
    <w:rsid w:val="001A7BE3"/>
    <w:rsid w:val="001D7CF9"/>
    <w:rsid w:val="001F5945"/>
    <w:rsid w:val="00236118"/>
    <w:rsid w:val="00242B1A"/>
    <w:rsid w:val="00255CDD"/>
    <w:rsid w:val="00256E31"/>
    <w:rsid w:val="002645E1"/>
    <w:rsid w:val="00273ECD"/>
    <w:rsid w:val="002743AA"/>
    <w:rsid w:val="00274418"/>
    <w:rsid w:val="0028701B"/>
    <w:rsid w:val="00291538"/>
    <w:rsid w:val="002A6CC0"/>
    <w:rsid w:val="002B6A69"/>
    <w:rsid w:val="002D2193"/>
    <w:rsid w:val="002F36CC"/>
    <w:rsid w:val="00311B46"/>
    <w:rsid w:val="00314F0B"/>
    <w:rsid w:val="00316D85"/>
    <w:rsid w:val="00316F88"/>
    <w:rsid w:val="0033138D"/>
    <w:rsid w:val="003975FD"/>
    <w:rsid w:val="003C0346"/>
    <w:rsid w:val="003E29AB"/>
    <w:rsid w:val="0040581A"/>
    <w:rsid w:val="0042193B"/>
    <w:rsid w:val="00424EE3"/>
    <w:rsid w:val="00454662"/>
    <w:rsid w:val="0047140F"/>
    <w:rsid w:val="004A027D"/>
    <w:rsid w:val="004B3B76"/>
    <w:rsid w:val="004D768C"/>
    <w:rsid w:val="004E09C2"/>
    <w:rsid w:val="00503B23"/>
    <w:rsid w:val="00532837"/>
    <w:rsid w:val="00546CE1"/>
    <w:rsid w:val="00556E48"/>
    <w:rsid w:val="005678EC"/>
    <w:rsid w:val="00577B35"/>
    <w:rsid w:val="00592589"/>
    <w:rsid w:val="0059702F"/>
    <w:rsid w:val="005B3287"/>
    <w:rsid w:val="005B46E3"/>
    <w:rsid w:val="005B4B1E"/>
    <w:rsid w:val="005E7181"/>
    <w:rsid w:val="00602821"/>
    <w:rsid w:val="0063651F"/>
    <w:rsid w:val="00673C1F"/>
    <w:rsid w:val="00681C88"/>
    <w:rsid w:val="00691670"/>
    <w:rsid w:val="006951C9"/>
    <w:rsid w:val="006A5715"/>
    <w:rsid w:val="006B2884"/>
    <w:rsid w:val="006C3AA7"/>
    <w:rsid w:val="006C5FAE"/>
    <w:rsid w:val="006C77E9"/>
    <w:rsid w:val="006F523D"/>
    <w:rsid w:val="006F5BC3"/>
    <w:rsid w:val="007144DA"/>
    <w:rsid w:val="00717229"/>
    <w:rsid w:val="007474D4"/>
    <w:rsid w:val="00757C80"/>
    <w:rsid w:val="00765D4C"/>
    <w:rsid w:val="00771EAE"/>
    <w:rsid w:val="007936AD"/>
    <w:rsid w:val="007E1E8A"/>
    <w:rsid w:val="008058C1"/>
    <w:rsid w:val="008440BB"/>
    <w:rsid w:val="00861C0B"/>
    <w:rsid w:val="00862EC3"/>
    <w:rsid w:val="00865BEA"/>
    <w:rsid w:val="00866CE6"/>
    <w:rsid w:val="008824AA"/>
    <w:rsid w:val="008B246B"/>
    <w:rsid w:val="00920A02"/>
    <w:rsid w:val="00923BA6"/>
    <w:rsid w:val="00925FA7"/>
    <w:rsid w:val="00932126"/>
    <w:rsid w:val="00963378"/>
    <w:rsid w:val="00995DAB"/>
    <w:rsid w:val="009E47A6"/>
    <w:rsid w:val="009F1C27"/>
    <w:rsid w:val="00A0472D"/>
    <w:rsid w:val="00A12445"/>
    <w:rsid w:val="00A236E0"/>
    <w:rsid w:val="00A4457C"/>
    <w:rsid w:val="00A50137"/>
    <w:rsid w:val="00A671CB"/>
    <w:rsid w:val="00AE2346"/>
    <w:rsid w:val="00AF5AE7"/>
    <w:rsid w:val="00B06E0E"/>
    <w:rsid w:val="00B262C7"/>
    <w:rsid w:val="00B7295B"/>
    <w:rsid w:val="00BA4D98"/>
    <w:rsid w:val="00BC31A2"/>
    <w:rsid w:val="00C037F7"/>
    <w:rsid w:val="00C117A4"/>
    <w:rsid w:val="00C275C6"/>
    <w:rsid w:val="00C34EDC"/>
    <w:rsid w:val="00C532E9"/>
    <w:rsid w:val="00C53365"/>
    <w:rsid w:val="00C95D93"/>
    <w:rsid w:val="00CC1496"/>
    <w:rsid w:val="00CC2D6F"/>
    <w:rsid w:val="00CC4DBD"/>
    <w:rsid w:val="00D1398A"/>
    <w:rsid w:val="00D15669"/>
    <w:rsid w:val="00D21585"/>
    <w:rsid w:val="00D21601"/>
    <w:rsid w:val="00D22803"/>
    <w:rsid w:val="00D37EDA"/>
    <w:rsid w:val="00D55640"/>
    <w:rsid w:val="00DD3DD9"/>
    <w:rsid w:val="00DE3B5D"/>
    <w:rsid w:val="00DE712C"/>
    <w:rsid w:val="00DE72EA"/>
    <w:rsid w:val="00DF7DE8"/>
    <w:rsid w:val="00E36797"/>
    <w:rsid w:val="00E56333"/>
    <w:rsid w:val="00E72D88"/>
    <w:rsid w:val="00E83156"/>
    <w:rsid w:val="00E83BE0"/>
    <w:rsid w:val="00E93C14"/>
    <w:rsid w:val="00F22DA4"/>
    <w:rsid w:val="00F468A5"/>
    <w:rsid w:val="00F51BFE"/>
    <w:rsid w:val="00F723E1"/>
    <w:rsid w:val="00FB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680FCE-F52F-4F81-B08F-0D1D26AC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66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468A5"/>
    <w:rPr>
      <w:rFonts w:cs="Times New Roman"/>
    </w:rPr>
  </w:style>
  <w:style w:type="paragraph" w:styleId="a4">
    <w:name w:val="header"/>
    <w:basedOn w:val="a"/>
    <w:link w:val="a5"/>
    <w:uiPriority w:val="99"/>
    <w:rsid w:val="00F468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locked/>
    <w:rsid w:val="008440BB"/>
    <w:rPr>
      <w:rFonts w:cs="Times New Roman"/>
      <w:sz w:val="18"/>
      <w:szCs w:val="18"/>
    </w:rPr>
  </w:style>
  <w:style w:type="paragraph" w:styleId="a6">
    <w:name w:val="footer"/>
    <w:basedOn w:val="a"/>
    <w:link w:val="a7"/>
    <w:uiPriority w:val="99"/>
    <w:rsid w:val="00F468A5"/>
    <w:pPr>
      <w:tabs>
        <w:tab w:val="center" w:pos="4153"/>
        <w:tab w:val="right" w:pos="8306"/>
      </w:tabs>
      <w:snapToGrid w:val="0"/>
      <w:jc w:val="left"/>
    </w:pPr>
    <w:rPr>
      <w:sz w:val="18"/>
      <w:szCs w:val="18"/>
    </w:rPr>
  </w:style>
  <w:style w:type="character" w:customStyle="1" w:styleId="a7">
    <w:name w:val="页脚 字符"/>
    <w:basedOn w:val="a0"/>
    <w:link w:val="a6"/>
    <w:uiPriority w:val="99"/>
    <w:semiHidden/>
    <w:locked/>
    <w:rsid w:val="008440BB"/>
    <w:rPr>
      <w:rFonts w:cs="Times New Roman"/>
      <w:sz w:val="18"/>
      <w:szCs w:val="18"/>
    </w:rPr>
  </w:style>
  <w:style w:type="paragraph" w:styleId="HTML">
    <w:name w:val="HTML Preformatted"/>
    <w:basedOn w:val="a"/>
    <w:link w:val="HTML0"/>
    <w:uiPriority w:val="99"/>
    <w:rsid w:val="00F46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0">
    <w:name w:val="HTML 预设格式 字符"/>
    <w:basedOn w:val="a0"/>
    <w:link w:val="HTML"/>
    <w:uiPriority w:val="99"/>
    <w:semiHidden/>
    <w:locked/>
    <w:rsid w:val="008440BB"/>
    <w:rPr>
      <w:rFonts w:ascii="Courier New" w:hAnsi="Courier New" w:cs="Courier New"/>
      <w:sz w:val="20"/>
      <w:szCs w:val="20"/>
    </w:rPr>
  </w:style>
  <w:style w:type="paragraph" w:styleId="a8">
    <w:name w:val="Plain Text"/>
    <w:basedOn w:val="a"/>
    <w:link w:val="a9"/>
    <w:uiPriority w:val="99"/>
    <w:rsid w:val="00F468A5"/>
    <w:rPr>
      <w:rFonts w:ascii="宋体" w:hAnsi="Courier New"/>
      <w:szCs w:val="20"/>
    </w:rPr>
  </w:style>
  <w:style w:type="character" w:customStyle="1" w:styleId="a9">
    <w:name w:val="纯文本 字符"/>
    <w:basedOn w:val="a0"/>
    <w:link w:val="a8"/>
    <w:uiPriority w:val="99"/>
    <w:semiHidden/>
    <w:locked/>
    <w:rsid w:val="008440BB"/>
    <w:rPr>
      <w:rFonts w:ascii="宋体" w:hAnsi="Courier New" w:cs="Courier New"/>
      <w:sz w:val="21"/>
      <w:szCs w:val="21"/>
    </w:rPr>
  </w:style>
  <w:style w:type="paragraph" w:customStyle="1" w:styleId="1">
    <w:name w:val="列出段落1"/>
    <w:basedOn w:val="a"/>
    <w:uiPriority w:val="99"/>
    <w:rsid w:val="00F468A5"/>
    <w:pPr>
      <w:ind w:firstLineChars="200" w:firstLine="420"/>
    </w:pPr>
  </w:style>
  <w:style w:type="paragraph" w:styleId="aa">
    <w:name w:val="List Paragraph"/>
    <w:basedOn w:val="a"/>
    <w:uiPriority w:val="99"/>
    <w:qFormat/>
    <w:rsid w:val="00F468A5"/>
    <w:pPr>
      <w:ind w:firstLineChars="200" w:firstLine="420"/>
    </w:pPr>
  </w:style>
  <w:style w:type="paragraph" w:customStyle="1" w:styleId="p0">
    <w:name w:val="p0"/>
    <w:basedOn w:val="a"/>
    <w:uiPriority w:val="99"/>
    <w:rsid w:val="00F468A5"/>
    <w:pPr>
      <w:widowControl/>
    </w:pPr>
    <w:rPr>
      <w:kern w:val="0"/>
      <w:szCs w:val="21"/>
    </w:rPr>
  </w:style>
  <w:style w:type="paragraph" w:styleId="ab">
    <w:name w:val="Date"/>
    <w:basedOn w:val="a"/>
    <w:next w:val="a"/>
    <w:link w:val="ac"/>
    <w:uiPriority w:val="99"/>
    <w:rsid w:val="006F523D"/>
    <w:pPr>
      <w:ind w:leftChars="2500" w:left="100"/>
    </w:pPr>
  </w:style>
  <w:style w:type="character" w:customStyle="1" w:styleId="ac">
    <w:name w:val="日期 字符"/>
    <w:basedOn w:val="a0"/>
    <w:link w:val="ab"/>
    <w:uiPriority w:val="99"/>
    <w:semiHidden/>
    <w:locked/>
    <w:rsid w:val="008440BB"/>
    <w:rPr>
      <w:rFonts w:cs="Times New Roman"/>
      <w:sz w:val="24"/>
      <w:szCs w:val="24"/>
    </w:rPr>
  </w:style>
  <w:style w:type="table" w:styleId="ad">
    <w:name w:val="Table Grid"/>
    <w:basedOn w:val="a1"/>
    <w:qFormat/>
    <w:locked/>
    <w:rsid w:val="00865BE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常用样式（方正仿宋简）"/>
    <w:basedOn w:val="a"/>
    <w:qFormat/>
    <w:rsid w:val="00865BEA"/>
    <w:pPr>
      <w:spacing w:line="560" w:lineRule="exact"/>
      <w:ind w:firstLineChars="200" w:firstLine="640"/>
    </w:pPr>
    <w:rPr>
      <w:rFonts w:asciiTheme="minorHAnsi" w:eastAsia="方正仿宋简体" w:hAnsiTheme="minorHAnsi" w:cstheme="minorBidi"/>
      <w:sz w:val="32"/>
    </w:rPr>
  </w:style>
  <w:style w:type="paragraph" w:styleId="af">
    <w:name w:val="Normal (Web)"/>
    <w:basedOn w:val="a"/>
    <w:qFormat/>
    <w:rsid w:val="0063651F"/>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685264">
      <w:marLeft w:val="0"/>
      <w:marRight w:val="0"/>
      <w:marTop w:val="0"/>
      <w:marBottom w:val="0"/>
      <w:divBdr>
        <w:top w:val="none" w:sz="0" w:space="0" w:color="auto"/>
        <w:left w:val="none" w:sz="0" w:space="0" w:color="auto"/>
        <w:bottom w:val="none" w:sz="0" w:space="0" w:color="auto"/>
        <w:right w:val="none" w:sz="0" w:space="0" w:color="auto"/>
      </w:divBdr>
    </w:div>
    <w:div w:id="2067685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843</Words>
  <Characters>4808</Characters>
  <Application>Microsoft Office Word</Application>
  <DocSecurity>0</DocSecurity>
  <Lines>40</Lines>
  <Paragraphs>11</Paragraphs>
  <ScaleCrop>false</ScaleCrop>
  <Company>四川华瞳文化传播有限公司</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杨毅</dc:creator>
  <cp:lastModifiedBy>abc</cp:lastModifiedBy>
  <cp:revision>4</cp:revision>
  <cp:lastPrinted>2023-01-03T02:00:00Z</cp:lastPrinted>
  <dcterms:created xsi:type="dcterms:W3CDTF">2023-01-03T01:59:00Z</dcterms:created>
  <dcterms:modified xsi:type="dcterms:W3CDTF">2023-01-03T11:38:00Z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