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hint="eastAsia" w:ascii="黑体" w:hAnsi="黑体" w:eastAsia="黑体"/>
          <w:sz w:val="32"/>
          <w:szCs w:val="32"/>
        </w:rPr>
        <w:t>附件1</w:t>
      </w:r>
    </w:p>
    <w:p/>
    <w:p>
      <w:pPr>
        <w:pStyle w:val="2"/>
        <w:keepNext w:val="0"/>
        <w:keepLines w:val="0"/>
        <w:pageBreakBefore w:val="0"/>
        <w:widowControl w:val="0"/>
        <w:kinsoku/>
        <w:wordWrap/>
        <w:overflowPunct w:val="0"/>
        <w:topLinePunct w:val="0"/>
        <w:autoSpaceDE/>
        <w:autoSpaceDN/>
        <w:bidi w:val="0"/>
        <w:adjustRightInd/>
        <w:snapToGrid/>
        <w:spacing w:before="0" w:beforeAutospacing="0" w:after="0" w:afterAutospacing="0" w:line="640" w:lineRule="exact"/>
        <w:jc w:val="center"/>
        <w:textAlignment w:val="auto"/>
        <w:rPr>
          <w:rFonts w:hint="eastAsia" w:ascii="黑体" w:hAnsi="黑体" w:eastAsia="黑体" w:cs="黑体"/>
          <w:b w:val="0"/>
          <w:bCs/>
          <w:sz w:val="44"/>
          <w:szCs w:val="44"/>
        </w:rPr>
      </w:pPr>
      <w:r>
        <w:rPr>
          <w:rFonts w:hint="eastAsia" w:ascii="黑体" w:hAnsi="黑体" w:eastAsia="黑体" w:cs="黑体"/>
          <w:b w:val="0"/>
          <w:bCs/>
          <w:sz w:val="44"/>
          <w:szCs w:val="44"/>
        </w:rPr>
        <w:t>四川省老龄健康发展中心</w:t>
      </w:r>
    </w:p>
    <w:p>
      <w:pPr>
        <w:pStyle w:val="2"/>
        <w:keepNext w:val="0"/>
        <w:keepLines w:val="0"/>
        <w:pageBreakBefore w:val="0"/>
        <w:widowControl w:val="0"/>
        <w:kinsoku/>
        <w:wordWrap/>
        <w:overflowPunct w:val="0"/>
        <w:topLinePunct w:val="0"/>
        <w:autoSpaceDE/>
        <w:autoSpaceDN/>
        <w:bidi w:val="0"/>
        <w:adjustRightInd/>
        <w:snapToGrid/>
        <w:spacing w:before="0" w:beforeAutospacing="0" w:after="0" w:afterAutospacing="0" w:line="640" w:lineRule="exact"/>
        <w:jc w:val="center"/>
        <w:textAlignment w:val="auto"/>
        <w:rPr>
          <w:rFonts w:hint="eastAsia" w:ascii="黑体" w:hAnsi="黑体" w:eastAsia="黑体" w:cs="黑体"/>
          <w:b w:val="0"/>
          <w:bCs/>
          <w:sz w:val="44"/>
          <w:szCs w:val="44"/>
        </w:rPr>
      </w:pPr>
      <w:r>
        <w:rPr>
          <w:rFonts w:hint="eastAsia" w:ascii="黑体" w:hAnsi="黑体" w:eastAsia="黑体" w:cs="黑体"/>
          <w:b w:val="0"/>
          <w:bCs/>
          <w:sz w:val="44"/>
          <w:szCs w:val="44"/>
        </w:rPr>
        <w:t>202</w:t>
      </w:r>
      <w:r>
        <w:rPr>
          <w:rFonts w:hint="eastAsia" w:ascii="黑体" w:hAnsi="黑体" w:eastAsia="黑体" w:cs="黑体"/>
          <w:b w:val="0"/>
          <w:bCs/>
          <w:sz w:val="44"/>
          <w:szCs w:val="44"/>
          <w:lang w:val="en-US" w:eastAsia="zh-CN"/>
        </w:rPr>
        <w:t>4</w:t>
      </w:r>
      <w:r>
        <w:rPr>
          <w:rFonts w:hint="eastAsia" w:ascii="黑体" w:hAnsi="黑体" w:eastAsia="黑体" w:cs="黑体"/>
          <w:b w:val="0"/>
          <w:bCs/>
          <w:sz w:val="44"/>
          <w:szCs w:val="44"/>
        </w:rPr>
        <w:t>-202</w:t>
      </w:r>
      <w:r>
        <w:rPr>
          <w:rFonts w:hint="eastAsia" w:ascii="黑体" w:hAnsi="黑体" w:eastAsia="黑体" w:cs="黑体"/>
          <w:b w:val="0"/>
          <w:bCs/>
          <w:sz w:val="44"/>
          <w:szCs w:val="44"/>
          <w:lang w:val="en-US" w:eastAsia="zh-CN"/>
        </w:rPr>
        <w:t>6</w:t>
      </w:r>
      <w:r>
        <w:rPr>
          <w:rFonts w:hint="eastAsia" w:ascii="黑体" w:hAnsi="黑体" w:eastAsia="黑体" w:cs="黑体"/>
          <w:b w:val="0"/>
          <w:bCs/>
          <w:sz w:val="44"/>
          <w:szCs w:val="44"/>
        </w:rPr>
        <w:t>年度招标代理机构</w:t>
      </w:r>
    </w:p>
    <w:p>
      <w:pPr>
        <w:keepNext w:val="0"/>
        <w:keepLines w:val="0"/>
        <w:pageBreakBefore w:val="0"/>
        <w:widowControl w:val="0"/>
        <w:kinsoku/>
        <w:wordWrap/>
        <w:overflowPunct w:val="0"/>
        <w:topLinePunct w:val="0"/>
        <w:autoSpaceDE/>
        <w:autoSpaceDN/>
        <w:bidi w:val="0"/>
        <w:adjustRightInd/>
        <w:snapToGrid/>
        <w:spacing w:line="960" w:lineRule="auto"/>
        <w:jc w:val="center"/>
        <w:textAlignment w:val="auto"/>
        <w:rPr>
          <w:rFonts w:hint="eastAsia" w:ascii="黑体" w:hAnsi="黑体" w:eastAsia="黑体" w:cs="黑体"/>
          <w:b w:val="0"/>
          <w:bCs/>
          <w:kern w:val="36"/>
          <w:sz w:val="44"/>
          <w:szCs w:val="44"/>
          <w:lang w:val="en-US" w:eastAsia="zh-CN" w:bidi="ar-SA"/>
        </w:rPr>
      </w:pPr>
    </w:p>
    <w:p>
      <w:pPr>
        <w:keepNext w:val="0"/>
        <w:keepLines w:val="0"/>
        <w:pageBreakBefore w:val="0"/>
        <w:widowControl w:val="0"/>
        <w:kinsoku/>
        <w:wordWrap/>
        <w:overflowPunct w:val="0"/>
        <w:topLinePunct w:val="0"/>
        <w:autoSpaceDE/>
        <w:autoSpaceDN/>
        <w:bidi w:val="0"/>
        <w:adjustRightInd/>
        <w:snapToGrid/>
        <w:spacing w:line="960" w:lineRule="auto"/>
        <w:jc w:val="center"/>
        <w:textAlignment w:val="auto"/>
        <w:rPr>
          <w:rFonts w:hint="eastAsia" w:ascii="方正小标宋简体" w:hAnsi="方正小标宋简体" w:eastAsia="方正小标宋简体" w:cs="方正小标宋简体"/>
          <w:b w:val="0"/>
          <w:bCs/>
          <w:sz w:val="72"/>
          <w:szCs w:val="72"/>
        </w:rPr>
      </w:pPr>
      <w:r>
        <w:rPr>
          <w:rFonts w:hint="eastAsia" w:ascii="方正小标宋简体" w:hAnsi="方正小标宋简体" w:eastAsia="方正小标宋简体" w:cs="方正小标宋简体"/>
          <w:b w:val="0"/>
          <w:bCs/>
          <w:sz w:val="72"/>
          <w:szCs w:val="72"/>
        </w:rPr>
        <w:t>比</w:t>
      </w:r>
    </w:p>
    <w:p>
      <w:pPr>
        <w:keepNext w:val="0"/>
        <w:keepLines w:val="0"/>
        <w:pageBreakBefore w:val="0"/>
        <w:widowControl w:val="0"/>
        <w:kinsoku/>
        <w:wordWrap/>
        <w:overflowPunct w:val="0"/>
        <w:topLinePunct w:val="0"/>
        <w:autoSpaceDE/>
        <w:autoSpaceDN/>
        <w:bidi w:val="0"/>
        <w:adjustRightInd/>
        <w:snapToGrid/>
        <w:spacing w:line="960" w:lineRule="auto"/>
        <w:jc w:val="center"/>
        <w:textAlignment w:val="auto"/>
        <w:rPr>
          <w:rFonts w:hint="eastAsia" w:ascii="方正小标宋简体" w:hAnsi="方正小标宋简体" w:eastAsia="方正小标宋简体" w:cs="方正小标宋简体"/>
          <w:b w:val="0"/>
          <w:bCs/>
          <w:sz w:val="72"/>
          <w:szCs w:val="72"/>
        </w:rPr>
      </w:pPr>
      <w:r>
        <w:rPr>
          <w:rFonts w:hint="eastAsia" w:ascii="方正小标宋简体" w:hAnsi="方正小标宋简体" w:eastAsia="方正小标宋简体" w:cs="方正小标宋简体"/>
          <w:b w:val="0"/>
          <w:bCs/>
          <w:sz w:val="72"/>
          <w:szCs w:val="72"/>
        </w:rPr>
        <w:t>选</w:t>
      </w:r>
    </w:p>
    <w:p>
      <w:pPr>
        <w:keepNext w:val="0"/>
        <w:keepLines w:val="0"/>
        <w:pageBreakBefore w:val="0"/>
        <w:widowControl w:val="0"/>
        <w:kinsoku/>
        <w:wordWrap/>
        <w:overflowPunct w:val="0"/>
        <w:topLinePunct w:val="0"/>
        <w:autoSpaceDE/>
        <w:autoSpaceDN/>
        <w:bidi w:val="0"/>
        <w:adjustRightInd/>
        <w:snapToGrid/>
        <w:spacing w:line="960" w:lineRule="auto"/>
        <w:jc w:val="center"/>
        <w:textAlignment w:val="auto"/>
        <w:rPr>
          <w:rFonts w:hint="eastAsia" w:ascii="方正小标宋简体" w:hAnsi="方正小标宋简体" w:eastAsia="方正小标宋简体" w:cs="方正小标宋简体"/>
          <w:b w:val="0"/>
          <w:bCs/>
          <w:sz w:val="72"/>
          <w:szCs w:val="72"/>
        </w:rPr>
      </w:pPr>
      <w:r>
        <w:rPr>
          <w:rFonts w:hint="eastAsia" w:ascii="方正小标宋简体" w:hAnsi="方正小标宋简体" w:eastAsia="方正小标宋简体" w:cs="方正小标宋简体"/>
          <w:b w:val="0"/>
          <w:bCs/>
          <w:sz w:val="72"/>
          <w:szCs w:val="72"/>
        </w:rPr>
        <w:t>申</w:t>
      </w:r>
    </w:p>
    <w:p>
      <w:pPr>
        <w:keepNext w:val="0"/>
        <w:keepLines w:val="0"/>
        <w:pageBreakBefore w:val="0"/>
        <w:widowControl w:val="0"/>
        <w:kinsoku/>
        <w:wordWrap/>
        <w:overflowPunct w:val="0"/>
        <w:topLinePunct w:val="0"/>
        <w:autoSpaceDE/>
        <w:autoSpaceDN/>
        <w:bidi w:val="0"/>
        <w:adjustRightInd/>
        <w:snapToGrid/>
        <w:spacing w:line="960" w:lineRule="auto"/>
        <w:jc w:val="center"/>
        <w:textAlignment w:val="auto"/>
        <w:rPr>
          <w:rFonts w:hint="eastAsia" w:ascii="方正小标宋简体" w:hAnsi="方正小标宋简体" w:eastAsia="方正小标宋简体" w:cs="方正小标宋简体"/>
          <w:b w:val="0"/>
          <w:bCs/>
          <w:sz w:val="72"/>
          <w:szCs w:val="72"/>
        </w:rPr>
      </w:pPr>
      <w:r>
        <w:rPr>
          <w:rFonts w:hint="eastAsia" w:ascii="方正小标宋简体" w:hAnsi="方正小标宋简体" w:eastAsia="方正小标宋简体" w:cs="方正小标宋简体"/>
          <w:b w:val="0"/>
          <w:bCs/>
          <w:sz w:val="72"/>
          <w:szCs w:val="72"/>
        </w:rPr>
        <w:t>请</w:t>
      </w:r>
    </w:p>
    <w:p>
      <w:pPr>
        <w:keepNext w:val="0"/>
        <w:keepLines w:val="0"/>
        <w:pageBreakBefore w:val="0"/>
        <w:widowControl w:val="0"/>
        <w:kinsoku/>
        <w:wordWrap/>
        <w:overflowPunct w:val="0"/>
        <w:topLinePunct w:val="0"/>
        <w:autoSpaceDE/>
        <w:autoSpaceDN/>
        <w:bidi w:val="0"/>
        <w:adjustRightInd/>
        <w:snapToGrid/>
        <w:spacing w:line="960" w:lineRule="auto"/>
        <w:jc w:val="center"/>
        <w:textAlignment w:val="auto"/>
        <w:rPr>
          <w:rFonts w:hint="eastAsia" w:ascii="方正小标宋简体" w:hAnsi="方正小标宋简体" w:eastAsia="方正小标宋简体" w:cs="方正小标宋简体"/>
          <w:b w:val="0"/>
          <w:bCs/>
          <w:sz w:val="72"/>
          <w:szCs w:val="72"/>
        </w:rPr>
      </w:pPr>
      <w:r>
        <w:rPr>
          <w:rFonts w:hint="eastAsia" w:ascii="方正小标宋简体" w:hAnsi="方正小标宋简体" w:eastAsia="方正小标宋简体" w:cs="方正小标宋简体"/>
          <w:b w:val="0"/>
          <w:bCs/>
          <w:sz w:val="72"/>
          <w:szCs w:val="72"/>
        </w:rPr>
        <w:t>书</w:t>
      </w:r>
    </w:p>
    <w:p>
      <w:pPr>
        <w:keepNext w:val="0"/>
        <w:keepLines w:val="0"/>
        <w:pageBreakBefore w:val="0"/>
        <w:widowControl w:val="0"/>
        <w:kinsoku/>
        <w:wordWrap/>
        <w:overflowPunct w:val="0"/>
        <w:topLinePunct w:val="0"/>
        <w:autoSpaceDE/>
        <w:autoSpaceDN/>
        <w:bidi w:val="0"/>
        <w:adjustRightInd/>
        <w:snapToGrid/>
        <w:spacing w:line="960" w:lineRule="auto"/>
        <w:jc w:val="center"/>
        <w:textAlignment w:val="auto"/>
        <w:rPr>
          <w:rFonts w:hint="eastAsia" w:ascii="方正小标宋简体" w:hAnsi="方正小标宋简体" w:eastAsia="方正小标宋简体" w:cs="方正小标宋简体"/>
          <w:b w:val="0"/>
          <w:bCs/>
          <w:sz w:val="72"/>
          <w:szCs w:val="72"/>
        </w:rPr>
      </w:pPr>
    </w:p>
    <w:p>
      <w:pPr>
        <w:jc w:val="center"/>
        <w:rPr>
          <w:rFonts w:ascii="仿宋_GB2312" w:eastAsia="仿宋_GB2312"/>
          <w:sz w:val="32"/>
          <w:szCs w:val="32"/>
        </w:rPr>
      </w:pPr>
      <w:r>
        <w:rPr>
          <w:rFonts w:hint="eastAsia" w:ascii="仿宋_GB2312" w:eastAsia="仿宋_GB2312"/>
          <w:sz w:val="32"/>
          <w:szCs w:val="32"/>
        </w:rPr>
        <w:t>比选申请人：（全称并加盖单位公章）</w:t>
      </w:r>
    </w:p>
    <w:p>
      <w:pPr>
        <w:jc w:val="center"/>
        <w:rPr>
          <w:rFonts w:ascii="仿宋_GB2312" w:eastAsia="仿宋_GB2312"/>
          <w:sz w:val="32"/>
          <w:szCs w:val="32"/>
        </w:rPr>
      </w:pPr>
    </w:p>
    <w:p>
      <w:pPr>
        <w:jc w:val="center"/>
        <w:rPr>
          <w:rFonts w:hint="eastAsia" w:ascii="仿宋_GB2312" w:eastAsia="仿宋_GB2312"/>
          <w:sz w:val="32"/>
          <w:szCs w:val="32"/>
        </w:rPr>
      </w:pPr>
      <w:r>
        <w:rPr>
          <w:rFonts w:hint="eastAsia" w:ascii="仿宋_GB2312" w:eastAsia="仿宋_GB2312"/>
          <w:sz w:val="32"/>
          <w:szCs w:val="32"/>
        </w:rPr>
        <w:t>年  月  日</w:t>
      </w:r>
      <w:bookmarkStart w:id="0" w:name="_Toc356396348"/>
    </w:p>
    <w:p>
      <w:pPr>
        <w:jc w:val="left"/>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1.法定代表人授权书</w:t>
      </w:r>
      <w:bookmarkEnd w:id="0"/>
    </w:p>
    <w:p>
      <w:pPr>
        <w:autoSpaceDE w:val="0"/>
        <w:autoSpaceDN w:val="0"/>
        <w:adjustRightInd w:val="0"/>
        <w:snapToGrid w:val="0"/>
        <w:spacing w:line="54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本授权委托书声明：我</w:t>
      </w:r>
      <w:r>
        <w:rPr>
          <w:rFonts w:hint="eastAsia" w:ascii="仿宋_GB2312" w:hAnsi="仿宋_GB2312" w:eastAsia="仿宋_GB2312" w:cs="仿宋_GB2312"/>
          <w:kern w:val="0"/>
          <w:sz w:val="32"/>
          <w:szCs w:val="32"/>
          <w:u w:val="single"/>
        </w:rPr>
        <w:t>（姓名）</w:t>
      </w:r>
      <w:r>
        <w:rPr>
          <w:rFonts w:hint="eastAsia" w:ascii="仿宋_GB2312" w:hAnsi="仿宋_GB2312" w:eastAsia="仿宋_GB2312" w:cs="仿宋_GB2312"/>
          <w:kern w:val="0"/>
          <w:sz w:val="32"/>
          <w:szCs w:val="32"/>
        </w:rPr>
        <w:t>系</w:t>
      </w:r>
      <w:r>
        <w:rPr>
          <w:rFonts w:hint="eastAsia" w:ascii="仿宋_GB2312" w:hAnsi="仿宋_GB2312" w:eastAsia="仿宋_GB2312" w:cs="仿宋_GB2312"/>
          <w:kern w:val="0"/>
          <w:sz w:val="32"/>
          <w:szCs w:val="32"/>
          <w:u w:val="single"/>
        </w:rPr>
        <w:t>（比选申请人名称）</w:t>
      </w:r>
      <w:r>
        <w:rPr>
          <w:rFonts w:hint="eastAsia" w:ascii="仿宋_GB2312" w:hAnsi="仿宋_GB2312" w:eastAsia="仿宋_GB2312" w:cs="仿宋_GB2312"/>
          <w:kern w:val="0"/>
          <w:sz w:val="32"/>
          <w:szCs w:val="32"/>
        </w:rPr>
        <w:t>的法定代表人，现授权</w:t>
      </w:r>
      <w:r>
        <w:rPr>
          <w:rFonts w:hint="eastAsia" w:ascii="仿宋_GB2312" w:hAnsi="仿宋_GB2312" w:eastAsia="仿宋_GB2312" w:cs="仿宋_GB2312"/>
          <w:kern w:val="0"/>
          <w:sz w:val="32"/>
          <w:szCs w:val="32"/>
          <w:u w:val="single"/>
        </w:rPr>
        <w:t>（姓名）</w:t>
      </w:r>
      <w:r>
        <w:rPr>
          <w:rFonts w:hint="eastAsia" w:ascii="仿宋_GB2312" w:hAnsi="仿宋_GB2312" w:eastAsia="仿宋_GB2312" w:cs="仿宋_GB2312"/>
          <w:kern w:val="0"/>
          <w:sz w:val="32"/>
          <w:szCs w:val="32"/>
        </w:rPr>
        <w:t>为我单位委托代理人，以本单位的名义参加</w:t>
      </w:r>
      <w:r>
        <w:rPr>
          <w:rFonts w:hint="eastAsia" w:ascii="仿宋_GB2312" w:hAnsi="仿宋_GB2312" w:eastAsia="仿宋_GB2312" w:cs="仿宋_GB2312"/>
          <w:kern w:val="0"/>
          <w:sz w:val="32"/>
          <w:szCs w:val="32"/>
          <w:u w:val="single"/>
        </w:rPr>
        <w:t xml:space="preserve"> XXXXXX招标代理机构比选</w:t>
      </w:r>
      <w:r>
        <w:rPr>
          <w:rFonts w:hint="eastAsia" w:ascii="仿宋_GB2312" w:hAnsi="仿宋_GB2312" w:eastAsia="仿宋_GB2312" w:cs="仿宋_GB2312"/>
          <w:kern w:val="0"/>
          <w:sz w:val="32"/>
          <w:szCs w:val="32"/>
        </w:rPr>
        <w:t>活动。委托代理人在比选活动和评比、谈判以及合同签订过程中所签署的一切文件和处理与之有关的一切事务，我及我单位均予以承认，并全部承担其产生的所有权利和义务。</w:t>
      </w:r>
    </w:p>
    <w:p>
      <w:pPr>
        <w:autoSpaceDE w:val="0"/>
        <w:autoSpaceDN w:val="0"/>
        <w:adjustRightInd w:val="0"/>
        <w:snapToGrid w:val="0"/>
        <w:spacing w:line="54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委托代理人无转委托权。特此委托。</w:t>
      </w:r>
    </w:p>
    <w:p>
      <w:pPr>
        <w:autoSpaceDE w:val="0"/>
        <w:autoSpaceDN w:val="0"/>
        <w:adjustRightInd w:val="0"/>
        <w:snapToGrid w:val="0"/>
        <w:spacing w:line="540" w:lineRule="exact"/>
        <w:ind w:firstLine="640" w:firstLineChars="200"/>
        <w:jc w:val="left"/>
        <w:rPr>
          <w:rFonts w:hint="eastAsia" w:ascii="仿宋_GB2312" w:hAnsi="仿宋_GB2312" w:eastAsia="仿宋_GB2312" w:cs="仿宋_GB2312"/>
          <w:kern w:val="0"/>
          <w:sz w:val="32"/>
          <w:szCs w:val="32"/>
        </w:rPr>
      </w:pPr>
    </w:p>
    <w:p>
      <w:pPr>
        <w:autoSpaceDE w:val="0"/>
        <w:autoSpaceDN w:val="0"/>
        <w:adjustRightInd w:val="0"/>
        <w:snapToGrid w:val="0"/>
        <w:spacing w:line="540" w:lineRule="exact"/>
        <w:ind w:firstLine="640" w:firstLineChars="200"/>
        <w:jc w:val="left"/>
        <w:rPr>
          <w:rFonts w:hint="eastAsia" w:ascii="仿宋_GB2312" w:hAnsi="仿宋_GB2312" w:eastAsia="仿宋_GB2312" w:cs="仿宋_GB2312"/>
          <w:kern w:val="0"/>
          <w:sz w:val="32"/>
          <w:szCs w:val="32"/>
        </w:rPr>
      </w:pPr>
    </w:p>
    <w:p>
      <w:pPr>
        <w:autoSpaceDE w:val="0"/>
        <w:autoSpaceDN w:val="0"/>
        <w:adjustRightInd w:val="0"/>
        <w:snapToGrid w:val="0"/>
        <w:spacing w:line="54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授权人(法定代表人):</w:t>
      </w:r>
      <w:r>
        <w:rPr>
          <w:rFonts w:hint="eastAsia" w:ascii="仿宋_GB2312" w:hAnsi="仿宋_GB2312" w:eastAsia="仿宋_GB2312" w:cs="仿宋_GB2312"/>
          <w:kern w:val="0"/>
          <w:sz w:val="32"/>
          <w:szCs w:val="32"/>
          <w:u w:val="single"/>
        </w:rPr>
        <w:t>（签字）</w:t>
      </w:r>
    </w:p>
    <w:p>
      <w:pPr>
        <w:autoSpaceDE w:val="0"/>
        <w:autoSpaceDN w:val="0"/>
        <w:adjustRightInd w:val="0"/>
        <w:snapToGrid w:val="0"/>
        <w:spacing w:line="54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委托代理人：</w:t>
      </w:r>
      <w:r>
        <w:rPr>
          <w:rFonts w:hint="eastAsia" w:ascii="仿宋_GB2312" w:hAnsi="仿宋_GB2312" w:eastAsia="仿宋_GB2312" w:cs="仿宋_GB2312"/>
          <w:kern w:val="0"/>
          <w:sz w:val="32"/>
          <w:szCs w:val="32"/>
          <w:u w:val="single"/>
        </w:rPr>
        <w:t>（签字）</w:t>
      </w:r>
      <w:r>
        <w:rPr>
          <w:rFonts w:hint="eastAsia" w:ascii="仿宋_GB2312" w:hAnsi="仿宋_GB2312" w:eastAsia="仿宋_GB2312" w:cs="仿宋_GB2312"/>
          <w:kern w:val="0"/>
          <w:sz w:val="32"/>
          <w:szCs w:val="32"/>
        </w:rPr>
        <w:t>手机：</w:t>
      </w:r>
    </w:p>
    <w:p>
      <w:pPr>
        <w:autoSpaceDE w:val="0"/>
        <w:autoSpaceDN w:val="0"/>
        <w:adjustRightInd w:val="0"/>
        <w:snapToGrid w:val="0"/>
        <w:spacing w:line="540" w:lineRule="exact"/>
        <w:ind w:firstLine="640" w:firstLineChars="200"/>
        <w:jc w:val="left"/>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比选申请人：</w:t>
      </w:r>
      <w:r>
        <w:rPr>
          <w:rFonts w:hint="eastAsia" w:ascii="仿宋_GB2312" w:hAnsi="仿宋_GB2312" w:eastAsia="仿宋_GB2312" w:cs="仿宋_GB2312"/>
          <w:kern w:val="0"/>
          <w:sz w:val="32"/>
          <w:szCs w:val="32"/>
          <w:u w:val="single"/>
        </w:rPr>
        <w:t>（全称并加盖单位公章）</w:t>
      </w:r>
    </w:p>
    <w:p>
      <w:pPr>
        <w:autoSpaceDE w:val="0"/>
        <w:autoSpaceDN w:val="0"/>
        <w:adjustRightInd w:val="0"/>
        <w:snapToGrid w:val="0"/>
        <w:spacing w:line="54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日期：  年   月  日</w:t>
      </w:r>
    </w:p>
    <w:p>
      <w:pPr>
        <w:autoSpaceDE w:val="0"/>
        <w:autoSpaceDN w:val="0"/>
        <w:adjustRightInd w:val="0"/>
        <w:snapToGrid w:val="0"/>
        <w:spacing w:line="540" w:lineRule="exact"/>
        <w:jc w:val="left"/>
        <w:rPr>
          <w:rFonts w:hint="eastAsia" w:ascii="仿宋_GB2312" w:hAnsi="仿宋_GB2312" w:eastAsia="仿宋_GB2312" w:cs="仿宋_GB2312"/>
          <w:kern w:val="0"/>
          <w:sz w:val="32"/>
          <w:szCs w:val="32"/>
        </w:rPr>
      </w:pPr>
    </w:p>
    <w:p>
      <w:pPr>
        <w:adjustRightInd w:val="0"/>
        <w:snapToGrid w:val="0"/>
        <w:spacing w:line="54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〔附法定代表人和授权代表身份证复印件（加盖单位公章）〕</w:t>
      </w:r>
    </w:p>
    <w:p>
      <w:pPr>
        <w:pStyle w:val="3"/>
        <w:adjustRightInd w:val="0"/>
        <w:snapToGrid w:val="0"/>
        <w:spacing w:before="0" w:after="0" w:line="540" w:lineRule="exact"/>
        <w:rPr>
          <w:rFonts w:ascii="仿宋_GB2312" w:eastAsia="仿宋_GB2312"/>
        </w:rPr>
      </w:pPr>
    </w:p>
    <w:p>
      <w:pPr>
        <w:pStyle w:val="3"/>
        <w:adjustRightInd w:val="0"/>
        <w:snapToGrid w:val="0"/>
        <w:spacing w:before="0" w:after="0" w:line="240" w:lineRule="auto"/>
        <w:rPr>
          <w:rFonts w:hint="eastAsia" w:ascii="仿宋_GB2312" w:hAnsi="仿宋_GB2312" w:eastAsia="仿宋_GB2312" w:cs="仿宋_GB2312"/>
          <w:sz w:val="32"/>
          <w:szCs w:val="32"/>
        </w:rPr>
      </w:pPr>
      <w:r>
        <w:rPr>
          <w:rFonts w:ascii="仿宋_GB2312" w:hAnsi="华文仿宋" w:eastAsia="仿宋_GB2312"/>
          <w:sz w:val="28"/>
          <w:szCs w:val="28"/>
        </w:rPr>
        <w:br w:type="page"/>
      </w:r>
      <w:bookmarkStart w:id="1" w:name="_Toc356396352"/>
      <w:r>
        <w:rPr>
          <w:rFonts w:hint="eastAsia" w:ascii="仿宋_GB2312" w:hAnsi="华文仿宋" w:eastAsia="仿宋_GB2312"/>
          <w:sz w:val="28"/>
          <w:szCs w:val="28"/>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代理服务费</w:t>
      </w:r>
    </w:p>
    <w:p>
      <w:pPr>
        <w:pStyle w:val="4"/>
        <w:ind w:firstLine="640" w:firstLineChars="20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按照拟代理采购项目的成本支出加合理利润的原则，参考原国家计委计价格[2002]1980号、发改办价格[2003]857号和《国家发展改革委关于降低部分建设项目收费标准规范收费行为等有关问题的通知》(发改价格[2011]534 号 )等文规定收费标准的__%收取，若单个项目服务费金额不足__元，按__元保底收取。</w:t>
      </w:r>
    </w:p>
    <w:p>
      <w:pPr>
        <w:pStyle w:val="4"/>
        <w:ind w:firstLine="0" w:firstLineChars="0"/>
        <w:rPr>
          <w:rFonts w:hint="eastAsia" w:ascii="仿宋_GB2312" w:hAnsi="仿宋_GB2312" w:eastAsia="仿宋_GB2312" w:cs="仿宋_GB2312"/>
          <w:sz w:val="32"/>
          <w:szCs w:val="32"/>
        </w:rPr>
      </w:pPr>
      <w:bookmarkStart w:id="2" w:name="_GoBack"/>
      <w:bookmarkEnd w:id="2"/>
    </w:p>
    <w:p>
      <w:pPr>
        <w:pStyle w:val="4"/>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单位名称（盖章）：</w:t>
      </w:r>
    </w:p>
    <w:p>
      <w:pPr>
        <w:autoSpaceDE w:val="0"/>
        <w:autoSpaceDN w:val="0"/>
        <w:adjustRightInd w:val="0"/>
        <w:snapToGrid w:val="0"/>
        <w:spacing w:line="240" w:lineRule="auto"/>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日期：  年   月   日</w:t>
      </w:r>
    </w:p>
    <w:p>
      <w:pPr>
        <w:autoSpaceDE w:val="0"/>
        <w:autoSpaceDN w:val="0"/>
        <w:adjustRightInd w:val="0"/>
        <w:snapToGrid w:val="0"/>
        <w:spacing w:line="240" w:lineRule="auto"/>
        <w:jc w:val="left"/>
        <w:rPr>
          <w:rFonts w:hint="eastAsia" w:ascii="仿宋_GB2312" w:hAnsi="仿宋_GB2312" w:eastAsia="仿宋_GB2312" w:cs="仿宋_GB2312"/>
          <w:kern w:val="0"/>
          <w:sz w:val="32"/>
          <w:szCs w:val="32"/>
        </w:rPr>
      </w:pPr>
    </w:p>
    <w:p>
      <w:pPr>
        <w:numPr>
          <w:ilvl w:val="0"/>
          <w:numId w:val="0"/>
        </w:numPr>
        <w:autoSpaceDE w:val="0"/>
        <w:autoSpaceDN w:val="0"/>
        <w:adjustRightInd w:val="0"/>
        <w:snapToGrid w:val="0"/>
        <w:spacing w:line="240" w:lineRule="auto"/>
        <w:jc w:val="left"/>
        <w:rPr>
          <w:rFonts w:hint="eastAsia" w:ascii="仿宋_GB2312" w:hAnsi="仿宋_GB2312" w:eastAsia="仿宋_GB2312" w:cs="仿宋_GB2312"/>
          <w:sz w:val="32"/>
          <w:szCs w:val="32"/>
          <w:lang w:val="en-US" w:eastAsia="zh-CN"/>
        </w:rPr>
      </w:pPr>
    </w:p>
    <w:p>
      <w:pPr>
        <w:numPr>
          <w:ilvl w:val="0"/>
          <w:numId w:val="0"/>
        </w:numPr>
        <w:autoSpaceDE w:val="0"/>
        <w:autoSpaceDN w:val="0"/>
        <w:adjustRightInd w:val="0"/>
        <w:snapToGrid w:val="0"/>
        <w:spacing w:line="240" w:lineRule="auto"/>
        <w:ind w:firstLine="643"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kern w:val="2"/>
          <w:sz w:val="32"/>
          <w:szCs w:val="32"/>
          <w:lang w:val="en-US" w:eastAsia="zh-CN" w:bidi="ar-SA"/>
        </w:rPr>
        <w:t>3.营业执照复印件</w:t>
      </w:r>
      <w:r>
        <w:rPr>
          <w:rFonts w:hint="eastAsia" w:ascii="仿宋_GB2312" w:hAnsi="仿宋_GB2312" w:eastAsia="仿宋_GB2312" w:cs="仿宋_GB2312"/>
          <w:b w:val="0"/>
          <w:bCs w:val="0"/>
          <w:kern w:val="0"/>
          <w:sz w:val="32"/>
          <w:szCs w:val="32"/>
          <w:lang w:val="en-US" w:eastAsia="zh-CN" w:bidi="ar-SA"/>
        </w:rPr>
        <w:t>（加盖单位公章）</w:t>
      </w:r>
    </w:p>
    <w:p>
      <w:pPr>
        <w:numPr>
          <w:ilvl w:val="0"/>
          <w:numId w:val="0"/>
        </w:numPr>
        <w:autoSpaceDE w:val="0"/>
        <w:autoSpaceDN w:val="0"/>
        <w:adjustRightInd w:val="0"/>
        <w:snapToGrid w:val="0"/>
        <w:spacing w:line="240" w:lineRule="auto"/>
        <w:ind w:firstLine="643" w:firstLineChars="200"/>
        <w:jc w:val="left"/>
        <w:rPr>
          <w:rFonts w:hint="eastAsia" w:ascii="仿宋_GB2312" w:hAnsi="仿宋_GB2312" w:eastAsia="仿宋_GB2312" w:cs="仿宋_GB2312"/>
          <w:b w:val="0"/>
          <w:sz w:val="32"/>
          <w:szCs w:val="32"/>
        </w:rPr>
      </w:pPr>
      <w:r>
        <w:rPr>
          <w:rFonts w:hint="eastAsia" w:ascii="仿宋_GB2312" w:hAnsi="仿宋_GB2312" w:eastAsia="仿宋_GB2312" w:cs="仿宋_GB2312"/>
          <w:b/>
          <w:bCs/>
          <w:kern w:val="2"/>
          <w:sz w:val="32"/>
          <w:szCs w:val="32"/>
          <w:lang w:val="en-US" w:eastAsia="zh-CN" w:bidi="ar-SA"/>
        </w:rPr>
        <w:t>4.提供有完善的政府采购内部监督管理制度的承诺函原件</w:t>
      </w:r>
      <w:r>
        <w:rPr>
          <w:rFonts w:hint="eastAsia" w:ascii="仿宋_GB2312" w:hAnsi="仿宋_GB2312" w:eastAsia="仿宋_GB2312" w:cs="仿宋_GB2312"/>
          <w:b w:val="0"/>
          <w:bCs w:val="0"/>
          <w:kern w:val="0"/>
          <w:sz w:val="32"/>
          <w:szCs w:val="32"/>
          <w:lang w:val="en-US" w:eastAsia="zh-CN" w:bidi="ar-SA"/>
        </w:rPr>
        <w:t>（格式自拟）</w:t>
      </w:r>
    </w:p>
    <w:p>
      <w:pPr>
        <w:widowControl/>
        <w:numPr>
          <w:ilvl w:val="0"/>
          <w:numId w:val="0"/>
        </w:numPr>
        <w:shd w:val="clear" w:color="auto" w:fill="FFFFFF"/>
        <w:adjustRightInd w:val="0"/>
        <w:snapToGrid w:val="0"/>
        <w:spacing w:line="54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kern w:val="2"/>
          <w:sz w:val="32"/>
          <w:szCs w:val="32"/>
          <w:lang w:val="en-US" w:eastAsia="zh-CN" w:bidi="ar-SA"/>
        </w:rPr>
        <w:t>5.</w:t>
      </w:r>
      <w:r>
        <w:rPr>
          <w:rFonts w:hint="eastAsia" w:ascii="仿宋_GB2312" w:hAnsi="仿宋_GB2312" w:eastAsia="仿宋_GB2312" w:cs="仿宋_GB2312"/>
          <w:b/>
          <w:bCs/>
          <w:sz w:val="32"/>
          <w:szCs w:val="32"/>
          <w:lang w:val="en-US" w:eastAsia="zh-CN"/>
        </w:rPr>
        <w:t>提供</w:t>
      </w:r>
      <w:r>
        <w:rPr>
          <w:rFonts w:hint="eastAsia" w:ascii="仿宋_GB2312" w:hAnsi="仿宋_GB2312" w:eastAsia="仿宋_GB2312" w:cs="仿宋_GB2312"/>
          <w:b/>
          <w:bCs/>
          <w:color w:val="auto"/>
          <w:sz w:val="32"/>
          <w:szCs w:val="32"/>
          <w:shd w:val="clear" w:color="auto" w:fill="auto"/>
        </w:rPr>
        <w:t>拥有不少于5名熟悉政府采购法律法规、具备编制采购文件和组织采购活动等相应能力的专职从业人员</w:t>
      </w:r>
      <w:r>
        <w:rPr>
          <w:rFonts w:hint="eastAsia" w:ascii="仿宋_GB2312" w:hAnsi="仿宋_GB2312" w:eastAsia="仿宋_GB2312" w:cs="仿宋_GB2312"/>
          <w:b/>
          <w:bCs/>
          <w:color w:val="auto"/>
          <w:sz w:val="32"/>
          <w:szCs w:val="32"/>
          <w:shd w:val="clear" w:color="auto" w:fill="auto"/>
          <w:lang w:eastAsia="zh-CN"/>
        </w:rPr>
        <w:t>承诺函原件并附专职人员社保缴纳凭证</w:t>
      </w:r>
      <w:r>
        <w:rPr>
          <w:rFonts w:hint="eastAsia" w:ascii="仿宋_GB2312" w:hAnsi="仿宋_GB2312" w:eastAsia="仿宋_GB2312" w:cs="仿宋_GB2312"/>
          <w:color w:val="auto"/>
          <w:sz w:val="32"/>
          <w:szCs w:val="32"/>
          <w:shd w:val="clear" w:color="auto" w:fill="auto"/>
          <w:lang w:eastAsia="zh-CN"/>
        </w:rPr>
        <w:t>（承诺函格式自拟）</w:t>
      </w:r>
    </w:p>
    <w:p>
      <w:pPr>
        <w:numPr>
          <w:ilvl w:val="0"/>
          <w:numId w:val="0"/>
        </w:numPr>
        <w:autoSpaceDE w:val="0"/>
        <w:autoSpaceDN w:val="0"/>
        <w:adjustRightInd w:val="0"/>
        <w:snapToGrid w:val="0"/>
        <w:spacing w:line="240" w:lineRule="auto"/>
        <w:ind w:firstLine="643" w:firstLineChars="200"/>
        <w:jc w:val="left"/>
        <w:rPr>
          <w:rFonts w:hint="eastAsia" w:ascii="仿宋_GB2312" w:hAnsi="仿宋_GB2312" w:eastAsia="仿宋_GB2312" w:cs="仿宋_GB2312"/>
          <w:b w:val="0"/>
          <w:sz w:val="32"/>
          <w:szCs w:val="32"/>
        </w:rPr>
      </w:pPr>
      <w:r>
        <w:rPr>
          <w:rFonts w:hint="eastAsia" w:ascii="仿宋_GB2312" w:hAnsi="仿宋_GB2312" w:eastAsia="仿宋_GB2312" w:cs="仿宋_GB2312"/>
          <w:b/>
          <w:bCs/>
          <w:kern w:val="2"/>
          <w:sz w:val="32"/>
          <w:szCs w:val="32"/>
          <w:lang w:val="en-US" w:eastAsia="zh-CN" w:bidi="ar-SA"/>
        </w:rPr>
        <w:t>6.具有良好的商业信誉和健全的财务会计制度的承诺函原件</w:t>
      </w:r>
      <w:r>
        <w:rPr>
          <w:rFonts w:hint="eastAsia" w:ascii="仿宋_GB2312" w:hAnsi="仿宋_GB2312" w:eastAsia="仿宋_GB2312" w:cs="仿宋_GB2312"/>
          <w:b w:val="0"/>
          <w:bCs w:val="0"/>
          <w:kern w:val="0"/>
          <w:sz w:val="32"/>
          <w:szCs w:val="32"/>
          <w:lang w:val="en-US" w:eastAsia="zh-CN" w:bidi="ar-SA"/>
        </w:rPr>
        <w:t>（格式自拟）</w:t>
      </w:r>
    </w:p>
    <w:p>
      <w:pPr>
        <w:numPr>
          <w:ilvl w:val="0"/>
          <w:numId w:val="0"/>
        </w:numPr>
        <w:autoSpaceDE w:val="0"/>
        <w:autoSpaceDN w:val="0"/>
        <w:adjustRightInd w:val="0"/>
        <w:snapToGrid w:val="0"/>
        <w:spacing w:line="240" w:lineRule="auto"/>
        <w:ind w:firstLine="643" w:firstLineChars="200"/>
        <w:jc w:val="left"/>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bCs/>
          <w:kern w:val="2"/>
          <w:sz w:val="32"/>
          <w:szCs w:val="32"/>
          <w:lang w:val="en-US" w:eastAsia="zh-CN" w:bidi="ar-SA"/>
        </w:rPr>
        <w:t>7.具有履行合同所必须的设备和专业技术能力的承诺函原件</w:t>
      </w:r>
      <w:r>
        <w:rPr>
          <w:rFonts w:hint="eastAsia" w:ascii="仿宋_GB2312" w:hAnsi="仿宋_GB2312" w:eastAsia="仿宋_GB2312" w:cs="仿宋_GB2312"/>
          <w:b w:val="0"/>
          <w:bCs w:val="0"/>
          <w:kern w:val="0"/>
          <w:sz w:val="32"/>
          <w:szCs w:val="32"/>
          <w:lang w:val="en-US" w:eastAsia="zh-CN" w:bidi="ar-SA"/>
        </w:rPr>
        <w:t>（格式自拟）</w:t>
      </w:r>
    </w:p>
    <w:p>
      <w:pPr>
        <w:numPr>
          <w:ilvl w:val="0"/>
          <w:numId w:val="0"/>
        </w:numPr>
        <w:autoSpaceDE w:val="0"/>
        <w:autoSpaceDN w:val="0"/>
        <w:adjustRightInd w:val="0"/>
        <w:snapToGrid w:val="0"/>
        <w:spacing w:line="240" w:lineRule="auto"/>
        <w:ind w:firstLine="643" w:firstLineChars="200"/>
        <w:jc w:val="left"/>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bCs/>
          <w:kern w:val="2"/>
          <w:sz w:val="32"/>
          <w:szCs w:val="32"/>
          <w:lang w:val="en-US" w:eastAsia="zh-CN" w:bidi="ar-SA"/>
        </w:rPr>
        <w:t>8.场地及设施证明</w:t>
      </w:r>
      <w:r>
        <w:rPr>
          <w:rFonts w:hint="eastAsia" w:ascii="仿宋_GB2312" w:hAnsi="仿宋_GB2312" w:eastAsia="仿宋_GB2312" w:cs="仿宋_GB2312"/>
          <w:b w:val="0"/>
          <w:bCs w:val="0"/>
          <w:kern w:val="0"/>
          <w:sz w:val="32"/>
          <w:szCs w:val="32"/>
        </w:rPr>
        <w:t>（格式自拟）</w:t>
      </w:r>
    </w:p>
    <w:p>
      <w:pPr>
        <w:numPr>
          <w:ilvl w:val="0"/>
          <w:numId w:val="0"/>
        </w:numPr>
        <w:autoSpaceDE w:val="0"/>
        <w:autoSpaceDN w:val="0"/>
        <w:adjustRightInd w:val="0"/>
        <w:snapToGrid w:val="0"/>
        <w:spacing w:line="240" w:lineRule="auto"/>
        <w:ind w:firstLine="640" w:firstLineChars="200"/>
        <w:jc w:val="left"/>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在成都市六城区（包括武侯区、青羊区、成华区、金牛区、锦江区、高新区）设有独立的开标和评审场所，具有录音录像、门禁系统等电子监控设备设施，符合省级人民政府规定的标准。（提供承诺函原件和相关场地、设施图片并加盖单位公章）</w:t>
      </w:r>
    </w:p>
    <w:p>
      <w:pPr>
        <w:pStyle w:val="3"/>
        <w:adjustRightInd w:val="0"/>
        <w:snapToGrid w:val="0"/>
        <w:spacing w:before="0" w:after="0" w:line="540" w:lineRule="exact"/>
        <w:ind w:firstLine="630"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具有依法缴纳税收和社会保障资金良好记录</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证明材料</w:t>
      </w:r>
    </w:p>
    <w:p>
      <w:pPr>
        <w:pStyle w:val="3"/>
        <w:adjustRightInd w:val="0"/>
        <w:snapToGrid w:val="0"/>
        <w:spacing w:before="0" w:after="0" w:line="540" w:lineRule="exact"/>
        <w:ind w:firstLine="630"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参加本次招标前三年内，在经营活动中没有重大违法记录的承诺函原件</w:t>
      </w:r>
      <w:r>
        <w:rPr>
          <w:rFonts w:hint="eastAsia" w:ascii="仿宋_GB2312" w:hAnsi="仿宋_GB2312" w:eastAsia="仿宋_GB2312" w:cs="仿宋_GB2312"/>
          <w:b w:val="0"/>
          <w:sz w:val="32"/>
          <w:szCs w:val="32"/>
        </w:rPr>
        <w:t>（格式自拟）</w:t>
      </w:r>
    </w:p>
    <w:p>
      <w:pPr>
        <w:spacing w:line="540" w:lineRule="exact"/>
        <w:ind w:firstLine="643"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
          <w:sz w:val="32"/>
          <w:szCs w:val="32"/>
          <w:lang w:val="en-US" w:eastAsia="zh-CN"/>
        </w:rPr>
        <w:t>11.</w:t>
      </w:r>
      <w:r>
        <w:rPr>
          <w:rFonts w:hint="eastAsia" w:ascii="仿宋_GB2312" w:hAnsi="仿宋_GB2312" w:eastAsia="仿宋_GB2312" w:cs="仿宋_GB2312"/>
          <w:b/>
          <w:sz w:val="32"/>
          <w:szCs w:val="32"/>
        </w:rPr>
        <w:t>规模及实力情况</w:t>
      </w:r>
      <w:r>
        <w:rPr>
          <w:rFonts w:hint="eastAsia" w:ascii="仿宋_GB2312" w:hAnsi="仿宋_GB2312" w:eastAsia="仿宋_GB2312" w:cs="仿宋_GB2312"/>
          <w:sz w:val="32"/>
          <w:szCs w:val="32"/>
        </w:rPr>
        <w:t>（</w:t>
      </w:r>
      <w:r>
        <w:rPr>
          <w:rFonts w:hint="eastAsia" w:ascii="仿宋_GB2312" w:hAnsi="仿宋_GB2312" w:eastAsia="仿宋_GB2312" w:cs="仿宋_GB2312"/>
          <w:bCs/>
          <w:kern w:val="0"/>
          <w:sz w:val="32"/>
          <w:szCs w:val="32"/>
        </w:rPr>
        <w:t>格式自拟）</w:t>
      </w:r>
    </w:p>
    <w:p>
      <w:pPr>
        <w:pStyle w:val="3"/>
        <w:adjustRightInd w:val="0"/>
        <w:snapToGrid w:val="0"/>
        <w:spacing w:before="0" w:after="0"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（1）提供中国政府采购网及四川政府采购网进行登记备案的网上查询截图。</w:t>
      </w:r>
    </w:p>
    <w:p>
      <w:pPr>
        <w:tabs>
          <w:tab w:val="left" w:pos="774"/>
        </w:tabs>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（2）申请人认为可证明规模及实力的其他材料。</w:t>
      </w:r>
    </w:p>
    <w:p>
      <w:pPr>
        <w:pStyle w:val="3"/>
        <w:spacing w:before="0" w:after="0"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申请人招标代理业绩</w:t>
      </w:r>
      <w:bookmarkEnd w:id="1"/>
      <w:r>
        <w:rPr>
          <w:rFonts w:hint="eastAsia" w:ascii="仿宋_GB2312" w:hAnsi="仿宋_GB2312" w:eastAsia="仿宋_GB2312" w:cs="仿宋_GB2312"/>
          <w:sz w:val="32"/>
          <w:szCs w:val="32"/>
        </w:rPr>
        <w:t>(需附上结果公告网站截图)</w:t>
      </w:r>
    </w:p>
    <w:tbl>
      <w:tblPr>
        <w:tblStyle w:val="12"/>
        <w:tblW w:w="8367" w:type="dxa"/>
        <w:jc w:val="center"/>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23"/>
        <w:gridCol w:w="1417"/>
        <w:gridCol w:w="2279"/>
        <w:gridCol w:w="1252"/>
        <w:gridCol w:w="2696"/>
      </w:tblGrid>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0" w:hRule="atLeast"/>
          <w:jc w:val="center"/>
        </w:trPr>
        <w:tc>
          <w:tcPr>
            <w:tcW w:w="723" w:type="dxa"/>
            <w:vAlign w:val="center"/>
          </w:tcPr>
          <w:p>
            <w:pPr>
              <w:jc w:val="center"/>
              <w:rPr>
                <w:rFonts w:ascii="仿宋_GB2312" w:eastAsia="仿宋_GB2312"/>
                <w:b/>
                <w:bCs/>
                <w:sz w:val="24"/>
                <w:szCs w:val="24"/>
              </w:rPr>
            </w:pPr>
            <w:r>
              <w:rPr>
                <w:rFonts w:hint="eastAsia" w:ascii="仿宋_GB2312" w:eastAsia="仿宋_GB2312"/>
                <w:b/>
                <w:bCs/>
                <w:sz w:val="24"/>
                <w:szCs w:val="24"/>
              </w:rPr>
              <w:t>序号</w:t>
            </w:r>
          </w:p>
        </w:tc>
        <w:tc>
          <w:tcPr>
            <w:tcW w:w="1417" w:type="dxa"/>
            <w:tcBorders>
              <w:right w:val="single" w:color="auto" w:sz="4" w:space="0"/>
            </w:tcBorders>
            <w:vAlign w:val="center"/>
          </w:tcPr>
          <w:p>
            <w:pPr>
              <w:jc w:val="center"/>
              <w:rPr>
                <w:rFonts w:ascii="仿宋_GB2312" w:eastAsia="仿宋_GB2312"/>
                <w:b/>
                <w:bCs/>
                <w:sz w:val="24"/>
                <w:szCs w:val="24"/>
              </w:rPr>
            </w:pPr>
            <w:r>
              <w:rPr>
                <w:rFonts w:hint="eastAsia" w:ascii="仿宋_GB2312" w:eastAsia="仿宋_GB2312"/>
                <w:b/>
                <w:bCs/>
                <w:sz w:val="24"/>
                <w:szCs w:val="24"/>
              </w:rPr>
              <w:t>采购单位</w:t>
            </w:r>
          </w:p>
        </w:tc>
        <w:tc>
          <w:tcPr>
            <w:tcW w:w="2279" w:type="dxa"/>
            <w:tcBorders>
              <w:left w:val="single" w:color="auto" w:sz="4" w:space="0"/>
            </w:tcBorders>
            <w:vAlign w:val="center"/>
          </w:tcPr>
          <w:p>
            <w:pPr>
              <w:jc w:val="center"/>
              <w:rPr>
                <w:rFonts w:ascii="仿宋_GB2312" w:eastAsia="仿宋_GB2312"/>
                <w:b/>
                <w:bCs/>
                <w:sz w:val="24"/>
                <w:szCs w:val="24"/>
              </w:rPr>
            </w:pPr>
            <w:r>
              <w:rPr>
                <w:rFonts w:hint="eastAsia" w:ascii="仿宋_GB2312" w:eastAsia="仿宋_GB2312"/>
                <w:b/>
                <w:bCs/>
                <w:sz w:val="24"/>
                <w:szCs w:val="24"/>
              </w:rPr>
              <w:t>项目名称</w:t>
            </w:r>
          </w:p>
        </w:tc>
        <w:tc>
          <w:tcPr>
            <w:tcW w:w="1252" w:type="dxa"/>
            <w:tcBorders>
              <w:right w:val="single" w:color="auto" w:sz="4" w:space="0"/>
            </w:tcBorders>
            <w:vAlign w:val="center"/>
          </w:tcPr>
          <w:p>
            <w:pPr>
              <w:jc w:val="center"/>
              <w:rPr>
                <w:rFonts w:ascii="仿宋_GB2312" w:eastAsia="仿宋_GB2312"/>
                <w:b/>
                <w:bCs/>
                <w:sz w:val="24"/>
                <w:szCs w:val="24"/>
              </w:rPr>
            </w:pPr>
            <w:r>
              <w:rPr>
                <w:rFonts w:hint="eastAsia" w:ascii="仿宋_GB2312" w:eastAsia="仿宋_GB2312"/>
                <w:b/>
                <w:bCs/>
                <w:sz w:val="24"/>
                <w:szCs w:val="24"/>
              </w:rPr>
              <w:t>预算金额</w:t>
            </w:r>
          </w:p>
        </w:tc>
        <w:tc>
          <w:tcPr>
            <w:tcW w:w="2696" w:type="dxa"/>
            <w:vAlign w:val="center"/>
          </w:tcPr>
          <w:p>
            <w:pPr>
              <w:jc w:val="center"/>
              <w:rPr>
                <w:rFonts w:ascii="仿宋_GB2312" w:eastAsia="仿宋_GB2312"/>
                <w:b/>
                <w:bCs/>
                <w:sz w:val="24"/>
                <w:szCs w:val="24"/>
              </w:rPr>
            </w:pPr>
            <w:r>
              <w:rPr>
                <w:rFonts w:hint="eastAsia" w:ascii="仿宋_GB2312" w:eastAsia="仿宋_GB2312"/>
                <w:b/>
                <w:bCs/>
                <w:sz w:val="22"/>
                <w:szCs w:val="24"/>
              </w:rPr>
              <w:t>中标（成交）公告发布网站及公告日期</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2" w:hRule="atLeast"/>
          <w:jc w:val="center"/>
        </w:trPr>
        <w:tc>
          <w:tcPr>
            <w:tcW w:w="723" w:type="dxa"/>
            <w:vAlign w:val="center"/>
          </w:tcPr>
          <w:p>
            <w:pPr>
              <w:jc w:val="center"/>
              <w:rPr>
                <w:rFonts w:ascii="仿宋_GB2312" w:eastAsia="仿宋_GB2312"/>
                <w:sz w:val="22"/>
              </w:rPr>
            </w:pPr>
          </w:p>
        </w:tc>
        <w:tc>
          <w:tcPr>
            <w:tcW w:w="1417" w:type="dxa"/>
            <w:tcBorders>
              <w:right w:val="single" w:color="auto" w:sz="4" w:space="0"/>
            </w:tcBorders>
            <w:vAlign w:val="center"/>
          </w:tcPr>
          <w:p>
            <w:pPr>
              <w:rPr>
                <w:rFonts w:ascii="仿宋_GB2312" w:eastAsia="仿宋_GB2312"/>
                <w:sz w:val="18"/>
                <w:szCs w:val="18"/>
              </w:rPr>
            </w:pPr>
          </w:p>
        </w:tc>
        <w:tc>
          <w:tcPr>
            <w:tcW w:w="2279" w:type="dxa"/>
            <w:tcBorders>
              <w:left w:val="single" w:color="auto" w:sz="4" w:space="0"/>
            </w:tcBorders>
            <w:vAlign w:val="center"/>
          </w:tcPr>
          <w:p>
            <w:pPr>
              <w:rPr>
                <w:rFonts w:ascii="仿宋_GB2312" w:eastAsia="仿宋_GB2312"/>
                <w:sz w:val="18"/>
                <w:szCs w:val="18"/>
              </w:rPr>
            </w:pPr>
          </w:p>
        </w:tc>
        <w:tc>
          <w:tcPr>
            <w:tcW w:w="1252" w:type="dxa"/>
            <w:tcBorders>
              <w:right w:val="single" w:color="auto" w:sz="4" w:space="0"/>
            </w:tcBorders>
            <w:vAlign w:val="center"/>
          </w:tcPr>
          <w:p>
            <w:pPr>
              <w:rPr>
                <w:rFonts w:ascii="仿宋_GB2312" w:eastAsia="仿宋_GB2312"/>
                <w:sz w:val="18"/>
                <w:szCs w:val="18"/>
              </w:rPr>
            </w:pPr>
          </w:p>
        </w:tc>
        <w:tc>
          <w:tcPr>
            <w:tcW w:w="2696" w:type="dxa"/>
            <w:vAlign w:val="top"/>
          </w:tcPr>
          <w:p>
            <w:pPr>
              <w:jc w:val="right"/>
              <w:rPr>
                <w:rFonts w:ascii="仿宋_GB2312" w:eastAsia="仿宋_GB2312"/>
                <w:sz w:val="18"/>
                <w:szCs w:val="18"/>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2" w:hRule="atLeast"/>
          <w:jc w:val="center"/>
        </w:trPr>
        <w:tc>
          <w:tcPr>
            <w:tcW w:w="723" w:type="dxa"/>
            <w:vAlign w:val="center"/>
          </w:tcPr>
          <w:p>
            <w:pPr>
              <w:jc w:val="center"/>
              <w:rPr>
                <w:rFonts w:ascii="仿宋_GB2312" w:eastAsia="仿宋_GB2312"/>
                <w:sz w:val="22"/>
              </w:rPr>
            </w:pPr>
          </w:p>
        </w:tc>
        <w:tc>
          <w:tcPr>
            <w:tcW w:w="1417" w:type="dxa"/>
            <w:tcBorders>
              <w:right w:val="single" w:color="auto" w:sz="4" w:space="0"/>
            </w:tcBorders>
            <w:vAlign w:val="center"/>
          </w:tcPr>
          <w:p>
            <w:pPr>
              <w:rPr>
                <w:rFonts w:ascii="仿宋_GB2312" w:eastAsia="仿宋_GB2312"/>
                <w:sz w:val="18"/>
                <w:szCs w:val="18"/>
              </w:rPr>
            </w:pPr>
          </w:p>
        </w:tc>
        <w:tc>
          <w:tcPr>
            <w:tcW w:w="2279" w:type="dxa"/>
            <w:tcBorders>
              <w:left w:val="single" w:color="auto" w:sz="4" w:space="0"/>
            </w:tcBorders>
            <w:vAlign w:val="center"/>
          </w:tcPr>
          <w:p>
            <w:pPr>
              <w:rPr>
                <w:rFonts w:ascii="仿宋_GB2312" w:eastAsia="仿宋_GB2312"/>
                <w:sz w:val="18"/>
                <w:szCs w:val="18"/>
              </w:rPr>
            </w:pPr>
          </w:p>
        </w:tc>
        <w:tc>
          <w:tcPr>
            <w:tcW w:w="1252" w:type="dxa"/>
            <w:tcBorders>
              <w:right w:val="single" w:color="auto" w:sz="4" w:space="0"/>
            </w:tcBorders>
            <w:vAlign w:val="center"/>
          </w:tcPr>
          <w:p>
            <w:pPr>
              <w:rPr>
                <w:rFonts w:ascii="仿宋_GB2312" w:eastAsia="仿宋_GB2312"/>
                <w:sz w:val="18"/>
                <w:szCs w:val="18"/>
              </w:rPr>
            </w:pPr>
          </w:p>
        </w:tc>
        <w:tc>
          <w:tcPr>
            <w:tcW w:w="2696" w:type="dxa"/>
            <w:vAlign w:val="top"/>
          </w:tcPr>
          <w:p>
            <w:pPr>
              <w:jc w:val="right"/>
              <w:rPr>
                <w:rFonts w:ascii="仿宋_GB2312" w:eastAsia="仿宋_GB2312"/>
                <w:sz w:val="18"/>
                <w:szCs w:val="18"/>
              </w:rPr>
            </w:pPr>
          </w:p>
        </w:tc>
      </w:tr>
    </w:tbl>
    <w:p>
      <w:pPr>
        <w:pStyle w:val="3"/>
        <w:adjustRightInd w:val="0"/>
        <w:snapToGrid w:val="0"/>
        <w:spacing w:before="0" w:line="240" w:lineRule="auto"/>
        <w:ind w:firstLine="630" w:firstLineChars="196"/>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bCs w:val="0"/>
          <w:sz w:val="32"/>
          <w:szCs w:val="32"/>
        </w:rPr>
        <w:t>代理服务方案</w:t>
      </w:r>
      <w:r>
        <w:rPr>
          <w:rFonts w:hint="eastAsia" w:ascii="仿宋_GB2312" w:hAnsi="仿宋_GB2312" w:eastAsia="仿宋_GB2312" w:cs="仿宋_GB2312"/>
          <w:b w:val="0"/>
          <w:bCs w:val="0"/>
          <w:sz w:val="32"/>
          <w:szCs w:val="32"/>
        </w:rPr>
        <w:t>（格式自拟）</w:t>
      </w:r>
    </w:p>
    <w:p>
      <w:pPr>
        <w:pStyle w:val="3"/>
        <w:adjustRightInd w:val="0"/>
        <w:snapToGrid w:val="0"/>
        <w:spacing w:before="0" w:line="240" w:lineRule="auto"/>
        <w:ind w:firstLine="630" w:firstLineChars="196"/>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bCs w:val="0"/>
          <w:sz w:val="32"/>
          <w:szCs w:val="32"/>
        </w:rPr>
        <w:t>代理机构专职人员配备情况</w:t>
      </w:r>
      <w:r>
        <w:rPr>
          <w:rFonts w:hint="eastAsia" w:ascii="仿宋_GB2312" w:hAnsi="仿宋_GB2312" w:eastAsia="仿宋_GB2312" w:cs="仿宋_GB2312"/>
          <w:b w:val="0"/>
          <w:bCs w:val="0"/>
          <w:sz w:val="32"/>
          <w:szCs w:val="32"/>
        </w:rPr>
        <w:t>（格式自拟）</w:t>
      </w:r>
    </w:p>
    <w:p>
      <w:pPr>
        <w:pStyle w:val="3"/>
        <w:adjustRightInd w:val="0"/>
        <w:snapToGrid w:val="0"/>
        <w:spacing w:before="0" w:line="240" w:lineRule="auto"/>
        <w:ind w:firstLine="630" w:firstLineChars="196"/>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bCs w:val="0"/>
          <w:sz w:val="32"/>
          <w:szCs w:val="32"/>
        </w:rPr>
        <w:t>其他材料</w:t>
      </w:r>
      <w:r>
        <w:rPr>
          <w:rFonts w:hint="eastAsia" w:ascii="仿宋_GB2312" w:hAnsi="仿宋_GB2312" w:eastAsia="仿宋_GB2312" w:cs="仿宋_GB2312"/>
          <w:b w:val="0"/>
          <w:bCs w:val="0"/>
          <w:sz w:val="32"/>
          <w:szCs w:val="32"/>
        </w:rPr>
        <w:t>（格式自拟）</w:t>
      </w:r>
    </w:p>
    <w:p>
      <w:pPr>
        <w:pStyle w:val="10"/>
        <w:spacing w:before="0" w:after="0" w:line="700" w:lineRule="exact"/>
        <w:jc w:val="left"/>
        <w:rPr>
          <w:rFonts w:hint="eastAsia" w:ascii="仿宋_GB2312" w:hAnsi="仿宋_GB2312" w:eastAsia="仿宋_GB2312" w:cs="仿宋_GB2312"/>
          <w:sz w:val="32"/>
          <w:szCs w:val="32"/>
        </w:rPr>
      </w:pPr>
    </w:p>
    <w:p>
      <w:pPr>
        <w:pStyle w:val="10"/>
        <w:spacing w:before="0" w:after="0" w:line="700" w:lineRule="exact"/>
        <w:jc w:val="left"/>
        <w:rPr>
          <w:rFonts w:hint="eastAsia" w:ascii="仿宋_GB2312" w:hAnsi="仿宋_GB2312" w:eastAsia="仿宋_GB2312" w:cs="仿宋_GB2312"/>
          <w:b/>
          <w:bCs w:val="0"/>
          <w:sz w:val="30"/>
          <w:szCs w:val="30"/>
        </w:rPr>
      </w:pPr>
      <w:r>
        <w:rPr>
          <w:rFonts w:hint="eastAsia" w:ascii="仿宋_GB2312" w:hAnsi="仿宋_GB2312" w:eastAsia="仿宋_GB2312" w:cs="仿宋_GB2312"/>
          <w:b/>
          <w:bCs w:val="0"/>
          <w:sz w:val="30"/>
          <w:szCs w:val="30"/>
        </w:rPr>
        <w:t>备注：申请人提交的申请材料，均需加盖单位公章，并装订成册。</w:t>
      </w:r>
    </w:p>
    <w:sectPr>
      <w:headerReference r:id="rId3" w:type="default"/>
      <w:footerReference r:id="rId4"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hMzBmZWE3MTFjMTRjOWE5NTJiNGNlOGFjYjQ0M2YifQ=="/>
    <w:docVar w:name="KSO_WPS_MARK_KEY" w:val="ed2749f1-73e3-44c3-81c8-6a7c2227cfce"/>
  </w:docVars>
  <w:rsids>
    <w:rsidRoot w:val="00000000"/>
    <w:rsid w:val="01111DD7"/>
    <w:rsid w:val="230D45BD"/>
    <w:rsid w:val="44365463"/>
    <w:rsid w:val="53B10E29"/>
    <w:rsid w:val="55E75657"/>
    <w:rsid w:val="581A496C"/>
    <w:rsid w:val="5E24383C"/>
    <w:rsid w:val="70761190"/>
    <w:rsid w:val="7DD52A32"/>
    <w:rsid w:val="7E30607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20"/>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1"/>
    <w:unhideWhenUsed/>
    <w:qFormat/>
    <w:uiPriority w:val="9"/>
    <w:pPr>
      <w:keepNext/>
      <w:keepLines/>
      <w:spacing w:before="260" w:after="260" w:line="416" w:lineRule="auto"/>
      <w:outlineLvl w:val="1"/>
    </w:pPr>
    <w:rPr>
      <w:rFonts w:ascii="Cambria" w:hAnsi="Cambria"/>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3"/>
    <w:unhideWhenUsed/>
    <w:qFormat/>
    <w:uiPriority w:val="99"/>
    <w:pPr>
      <w:jc w:val="left"/>
    </w:pPr>
  </w:style>
  <w:style w:type="paragraph" w:styleId="5">
    <w:name w:val="Date"/>
    <w:basedOn w:val="1"/>
    <w:next w:val="1"/>
    <w:link w:val="29"/>
    <w:semiHidden/>
    <w:unhideWhenUsed/>
    <w:qFormat/>
    <w:uiPriority w:val="0"/>
    <w:pPr>
      <w:ind w:left="100" w:leftChars="2500"/>
    </w:pPr>
  </w:style>
  <w:style w:type="paragraph" w:styleId="6">
    <w:name w:val="Balloon Text"/>
    <w:basedOn w:val="1"/>
    <w:link w:val="27"/>
    <w:semiHidden/>
    <w:unhideWhenUsed/>
    <w:qFormat/>
    <w:uiPriority w:val="0"/>
    <w:rPr>
      <w:sz w:val="18"/>
      <w:szCs w:val="18"/>
    </w:rPr>
  </w:style>
  <w:style w:type="paragraph" w:styleId="7">
    <w:name w:val="footer"/>
    <w:basedOn w:val="1"/>
    <w:link w:val="26"/>
    <w:unhideWhenUsed/>
    <w:qFormat/>
    <w:uiPriority w:val="99"/>
    <w:pPr>
      <w:tabs>
        <w:tab w:val="center" w:pos="4153"/>
        <w:tab w:val="right" w:pos="8306"/>
      </w:tabs>
      <w:snapToGrid w:val="0"/>
      <w:jc w:val="left"/>
    </w:pPr>
    <w:rPr>
      <w:sz w:val="18"/>
      <w:szCs w:val="18"/>
    </w:rPr>
  </w:style>
  <w:style w:type="paragraph" w:styleId="8">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0"/>
    <w:pPr>
      <w:spacing w:beforeAutospacing="1" w:afterAutospacing="1"/>
      <w:jc w:val="left"/>
    </w:pPr>
    <w:rPr>
      <w:kern w:val="0"/>
      <w:sz w:val="24"/>
    </w:rPr>
  </w:style>
  <w:style w:type="paragraph" w:styleId="10">
    <w:name w:val="Title"/>
    <w:basedOn w:val="1"/>
    <w:next w:val="1"/>
    <w:link w:val="22"/>
    <w:qFormat/>
    <w:uiPriority w:val="99"/>
    <w:pPr>
      <w:spacing w:before="240" w:after="60"/>
      <w:jc w:val="center"/>
      <w:outlineLvl w:val="0"/>
    </w:pPr>
    <w:rPr>
      <w:rFonts w:ascii="等线 Light" w:hAnsi="等线 Light" w:eastAsia="等线 Light"/>
      <w:b/>
      <w:sz w:val="32"/>
    </w:rPr>
  </w:style>
  <w:style w:type="paragraph" w:styleId="11">
    <w:name w:val="annotation subject"/>
    <w:basedOn w:val="4"/>
    <w:next w:val="4"/>
    <w:link w:val="28"/>
    <w:semiHidden/>
    <w:unhideWhenUsed/>
    <w:qFormat/>
    <w:uiPriority w:val="0"/>
    <w:rPr>
      <w:b/>
      <w:bCs/>
    </w:rPr>
  </w:style>
  <w:style w:type="character" w:styleId="14">
    <w:name w:val="Strong"/>
    <w:qFormat/>
    <w:uiPriority w:val="22"/>
    <w:rPr>
      <w:b/>
    </w:rPr>
  </w:style>
  <w:style w:type="character" w:styleId="15">
    <w:name w:val="FollowedHyperlink"/>
    <w:basedOn w:val="13"/>
    <w:semiHidden/>
    <w:unhideWhenUsed/>
    <w:qFormat/>
    <w:uiPriority w:val="0"/>
    <w:rPr>
      <w:rFonts w:hint="eastAsia" w:ascii="微软雅黑" w:hAnsi="微软雅黑" w:eastAsia="微软雅黑" w:cs="微软雅黑"/>
      <w:color w:val="02396F"/>
      <w:u w:val="single"/>
    </w:rPr>
  </w:style>
  <w:style w:type="character" w:styleId="16">
    <w:name w:val="Hyperlink"/>
    <w:basedOn w:val="13"/>
    <w:semiHidden/>
    <w:unhideWhenUsed/>
    <w:qFormat/>
    <w:uiPriority w:val="0"/>
    <w:rPr>
      <w:rFonts w:hint="eastAsia" w:ascii="微软雅黑" w:hAnsi="微软雅黑" w:eastAsia="微软雅黑" w:cs="微软雅黑"/>
      <w:color w:val="02396F"/>
      <w:u w:val="single"/>
    </w:rPr>
  </w:style>
  <w:style w:type="character" w:styleId="17">
    <w:name w:val="annotation reference"/>
    <w:semiHidden/>
    <w:unhideWhenUsed/>
    <w:qFormat/>
    <w:uiPriority w:val="0"/>
    <w:rPr>
      <w:sz w:val="21"/>
      <w:szCs w:val="21"/>
    </w:rPr>
  </w:style>
  <w:style w:type="paragraph" w:customStyle="1" w:styleId="18">
    <w:name w:val="列出段落1"/>
    <w:basedOn w:val="1"/>
    <w:qFormat/>
    <w:uiPriority w:val="99"/>
    <w:pPr>
      <w:ind w:firstLine="420" w:firstLineChars="200"/>
    </w:pPr>
    <w:rPr>
      <w:rFonts w:ascii="等线" w:hAnsi="等线" w:eastAsia="等线" w:cs="等线"/>
      <w:szCs w:val="21"/>
    </w:rPr>
  </w:style>
  <w:style w:type="paragraph" w:customStyle="1" w:styleId="19">
    <w:name w:val="Revision"/>
    <w:hidden/>
    <w:semiHidden/>
    <w:qFormat/>
    <w:uiPriority w:val="99"/>
    <w:rPr>
      <w:rFonts w:ascii="Calibri" w:hAnsi="Calibri" w:eastAsia="宋体" w:cs="黑体"/>
      <w:kern w:val="2"/>
      <w:sz w:val="21"/>
      <w:szCs w:val="22"/>
      <w:lang w:val="en-US" w:eastAsia="zh-CN" w:bidi="ar-SA"/>
    </w:rPr>
  </w:style>
  <w:style w:type="character" w:customStyle="1" w:styleId="20">
    <w:name w:val="标题 1 字符"/>
    <w:link w:val="2"/>
    <w:qFormat/>
    <w:uiPriority w:val="9"/>
    <w:rPr>
      <w:rFonts w:ascii="宋体" w:hAnsi="宋体" w:eastAsia="宋体" w:cs="宋体"/>
      <w:b/>
      <w:bCs/>
      <w:kern w:val="36"/>
      <w:sz w:val="48"/>
      <w:szCs w:val="48"/>
    </w:rPr>
  </w:style>
  <w:style w:type="character" w:customStyle="1" w:styleId="21">
    <w:name w:val="标题 2 字符"/>
    <w:link w:val="3"/>
    <w:qFormat/>
    <w:uiPriority w:val="9"/>
    <w:rPr>
      <w:rFonts w:ascii="Cambria" w:hAnsi="Cambria" w:eastAsia="宋体" w:cs="黑体"/>
      <w:b/>
      <w:bCs/>
      <w:sz w:val="32"/>
      <w:szCs w:val="32"/>
    </w:rPr>
  </w:style>
  <w:style w:type="character" w:customStyle="1" w:styleId="22">
    <w:name w:val="标题 字符"/>
    <w:link w:val="10"/>
    <w:qFormat/>
    <w:uiPriority w:val="99"/>
    <w:rPr>
      <w:rFonts w:ascii="等线 Light" w:hAnsi="等线 Light" w:eastAsia="等线 Light"/>
      <w:b/>
      <w:sz w:val="32"/>
    </w:rPr>
  </w:style>
  <w:style w:type="character" w:customStyle="1" w:styleId="23">
    <w:name w:val="批注文字 字符"/>
    <w:basedOn w:val="13"/>
    <w:link w:val="4"/>
    <w:qFormat/>
    <w:uiPriority w:val="99"/>
  </w:style>
  <w:style w:type="character" w:customStyle="1" w:styleId="24">
    <w:name w:val="标题 Char1"/>
    <w:unhideWhenUsed/>
    <w:qFormat/>
    <w:locked/>
    <w:uiPriority w:val="99"/>
    <w:rPr>
      <w:rFonts w:ascii="等线 Light" w:hAnsi="等线 Light" w:eastAsia="等线 Light"/>
      <w:b/>
      <w:sz w:val="32"/>
    </w:rPr>
  </w:style>
  <w:style w:type="character" w:customStyle="1" w:styleId="25">
    <w:name w:val="页眉 字符"/>
    <w:link w:val="8"/>
    <w:qFormat/>
    <w:uiPriority w:val="99"/>
    <w:rPr>
      <w:sz w:val="18"/>
      <w:szCs w:val="18"/>
    </w:rPr>
  </w:style>
  <w:style w:type="character" w:customStyle="1" w:styleId="26">
    <w:name w:val="页脚 字符"/>
    <w:link w:val="7"/>
    <w:qFormat/>
    <w:uiPriority w:val="99"/>
    <w:rPr>
      <w:sz w:val="18"/>
      <w:szCs w:val="18"/>
    </w:rPr>
  </w:style>
  <w:style w:type="character" w:customStyle="1" w:styleId="27">
    <w:name w:val="批注框文本 字符"/>
    <w:link w:val="6"/>
    <w:semiHidden/>
    <w:qFormat/>
    <w:uiPriority w:val="0"/>
    <w:rPr>
      <w:rFonts w:ascii="Calibri" w:hAnsi="Calibri" w:cs="黑体"/>
      <w:kern w:val="2"/>
      <w:sz w:val="18"/>
      <w:szCs w:val="18"/>
    </w:rPr>
  </w:style>
  <w:style w:type="character" w:customStyle="1" w:styleId="28">
    <w:name w:val="批注主题 字符"/>
    <w:link w:val="11"/>
    <w:semiHidden/>
    <w:qFormat/>
    <w:uiPriority w:val="0"/>
    <w:rPr>
      <w:rFonts w:ascii="Calibri" w:hAnsi="Calibri" w:cs="黑体"/>
      <w:b/>
      <w:bCs/>
      <w:kern w:val="2"/>
      <w:sz w:val="21"/>
      <w:szCs w:val="22"/>
    </w:rPr>
  </w:style>
  <w:style w:type="character" w:customStyle="1" w:styleId="29">
    <w:name w:val="日期 字符"/>
    <w:link w:val="5"/>
    <w:semiHidden/>
    <w:qFormat/>
    <w:uiPriority w:val="0"/>
    <w:rPr>
      <w:rFonts w:ascii="Calibri" w:hAnsi="Calibri" w:cs="黑体"/>
      <w:kern w:val="2"/>
      <w:sz w:val="21"/>
      <w:szCs w:val="22"/>
    </w:rPr>
  </w:style>
  <w:style w:type="character" w:customStyle="1" w:styleId="30">
    <w:name w:val="redfilefwwh"/>
    <w:basedOn w:val="13"/>
    <w:qFormat/>
    <w:uiPriority w:val="0"/>
    <w:rPr>
      <w:color w:val="BA2636"/>
      <w:sz w:val="18"/>
      <w:szCs w:val="18"/>
    </w:rPr>
  </w:style>
  <w:style w:type="character" w:customStyle="1" w:styleId="31">
    <w:name w:val="displayarti"/>
    <w:basedOn w:val="13"/>
    <w:qFormat/>
    <w:uiPriority w:val="0"/>
    <w:rPr>
      <w:color w:val="FFFFFF"/>
      <w:shd w:val="clear" w:fill="A00000"/>
    </w:rPr>
  </w:style>
  <w:style w:type="character" w:customStyle="1" w:styleId="32">
    <w:name w:val="redfilenumber"/>
    <w:basedOn w:val="13"/>
    <w:qFormat/>
    <w:uiPriority w:val="0"/>
    <w:rPr>
      <w:color w:val="BA2636"/>
      <w:sz w:val="18"/>
      <w:szCs w:val="18"/>
    </w:rPr>
  </w:style>
  <w:style w:type="character" w:customStyle="1" w:styleId="33">
    <w:name w:val="qxdate"/>
    <w:basedOn w:val="13"/>
    <w:qFormat/>
    <w:uiPriority w:val="0"/>
    <w:rPr>
      <w:color w:val="333333"/>
      <w:sz w:val="18"/>
      <w:szCs w:val="18"/>
    </w:rPr>
  </w:style>
  <w:style w:type="character" w:customStyle="1" w:styleId="34">
    <w:name w:val="prev"/>
    <w:basedOn w:val="13"/>
    <w:qFormat/>
    <w:uiPriority w:val="0"/>
    <w:rPr>
      <w:rFonts w:ascii="微软雅黑" w:hAnsi="微软雅黑" w:eastAsia="微软雅黑" w:cs="微软雅黑"/>
      <w:sz w:val="21"/>
      <w:szCs w:val="21"/>
    </w:rPr>
  </w:style>
  <w:style w:type="character" w:customStyle="1" w:styleId="35">
    <w:name w:val="prev1"/>
    <w:basedOn w:val="13"/>
    <w:qFormat/>
    <w:uiPriority w:val="0"/>
    <w:rPr>
      <w:color w:val="888888"/>
    </w:rPr>
  </w:style>
  <w:style w:type="character" w:customStyle="1" w:styleId="36">
    <w:name w:val="gjfg"/>
    <w:basedOn w:val="13"/>
    <w:qFormat/>
    <w:uiPriority w:val="0"/>
  </w:style>
  <w:style w:type="character" w:customStyle="1" w:styleId="37">
    <w:name w:val="cfdate"/>
    <w:basedOn w:val="13"/>
    <w:qFormat/>
    <w:uiPriority w:val="0"/>
    <w:rPr>
      <w:color w:val="333333"/>
      <w:sz w:val="18"/>
      <w:szCs w:val="18"/>
    </w:rPr>
  </w:style>
  <w:style w:type="character" w:customStyle="1" w:styleId="38">
    <w:name w:val="next2"/>
    <w:basedOn w:val="13"/>
    <w:qFormat/>
    <w:uiPriority w:val="0"/>
    <w:rPr>
      <w:rFonts w:hint="eastAsia" w:ascii="微软雅黑" w:hAnsi="微软雅黑" w:eastAsia="微软雅黑" w:cs="微软雅黑"/>
      <w:sz w:val="21"/>
      <w:szCs w:val="21"/>
    </w:rPr>
  </w:style>
  <w:style w:type="character" w:customStyle="1" w:styleId="39">
    <w:name w:val="next3"/>
    <w:basedOn w:val="13"/>
    <w:qFormat/>
    <w:uiPriority w:val="0"/>
    <w:rPr>
      <w:color w:val="88888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1005</Words>
  <Characters>1069</Characters>
  <Lines>29</Lines>
  <Paragraphs>8</Paragraphs>
  <TotalTime>58</TotalTime>
  <ScaleCrop>false</ScaleCrop>
  <LinksUpToDate>false</LinksUpToDate>
  <CharactersWithSpaces>1148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2023-04-11T07:04:00Z</dcterms:created>
  <dc:creator>刘立</dc:creator>
  <cp:lastModifiedBy>郑婷</cp:lastModifiedBy>
  <cp:lastPrinted>2024-07-10T02:14:00Z</cp:lastPrinted>
  <dcterms:modified xsi:type="dcterms:W3CDTF">2024-07-10T02:17:25Z</dcterms:modified>
  <dc:title>关于公开比选中心2020—2022年度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4EF8F01C38D94F05A466A29C6E2D132E_13</vt:lpwstr>
  </property>
</Properties>
</file>